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628" w:type="pct"/>
        <w:tblInd w:w="1101" w:type="dxa"/>
        <w:tblLook w:val="04A0" w:firstRow="1" w:lastRow="0" w:firstColumn="1" w:lastColumn="0" w:noHBand="0" w:noVBand="1"/>
      </w:tblPr>
      <w:tblGrid>
        <w:gridCol w:w="6236"/>
        <w:gridCol w:w="7147"/>
      </w:tblGrid>
      <w:tr w:rsidR="00A83EE3">
        <w:tc>
          <w:tcPr>
            <w:tcW w:w="2330" w:type="pct"/>
          </w:tcPr>
          <w:p w:rsidR="00A83EE3" w:rsidRDefault="00904E0F">
            <w:pPr>
              <w:spacing w:before="120" w:after="120" w:line="240" w:lineRule="auto"/>
              <w:rPr>
                <w:rFonts w:ascii="Times New Roman" w:eastAsia="Times New Roman" w:hAnsi="Times New Roman"/>
                <w:b/>
                <w:sz w:val="24"/>
                <w:szCs w:val="24"/>
                <w:lang w:val="nl-NL"/>
              </w:rPr>
            </w:pPr>
            <w:r>
              <w:rPr>
                <w:rFonts w:ascii="Times New Roman" w:eastAsia="Times New Roman" w:hAnsi="Times New Roman"/>
                <w:b/>
                <w:noProof/>
                <w:sz w:val="24"/>
                <w:szCs w:val="28"/>
                <w:lang w:val="en-US"/>
              </w:rPr>
              <mc:AlternateContent>
                <mc:Choice Requires="wps">
                  <w:drawing>
                    <wp:anchor distT="0" distB="0" distL="114300" distR="114300" simplePos="0" relativeHeight="251659264" behindDoc="0" locked="0" layoutInCell="1" allowOverlap="1">
                      <wp:simplePos x="0" y="0"/>
                      <wp:positionH relativeFrom="column">
                        <wp:posOffset>250825</wp:posOffset>
                      </wp:positionH>
                      <wp:positionV relativeFrom="paragraph">
                        <wp:posOffset>350520</wp:posOffset>
                      </wp:positionV>
                      <wp:extent cx="7620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762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19.75pt;margin-top:27.6pt;height:0pt;width:60pt;z-index:251659264;mso-width-relative:page;mso-height-relative:page;" filled="f" stroked="t" coordsize="21600,21600" o:gfxdata="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E2GXm&#10;1QAAAAgBAAAPAAAAAAAAAAEAIAAAACIAAABkcnMvZG93bnJldi54bWxQSwECFAAUAAAACACHTuJA&#10;qOMPeusBAADfAwAADgAAAAAAAAABACAAAAAkAQAAZHJzL2Uyb0RvYy54bWxQSwUGAAAAAAYABgBZ&#10;AQAAgQUAAAAA&#10;">
                      <v:fill on="f" focussize="0,0"/>
                      <v:stroke color="#4A7EBB [3204]" joinstyle="round"/>
                      <v:imagedata o:title=""/>
                      <o:lock v:ext="edit" aspectratio="f"/>
                    </v:line>
                  </w:pict>
                </mc:Fallback>
              </mc:AlternateContent>
            </w:r>
            <w:r>
              <w:rPr>
                <w:rFonts w:ascii="Times New Roman" w:eastAsia="Times New Roman" w:hAnsi="Times New Roman"/>
                <w:b/>
                <w:sz w:val="24"/>
                <w:szCs w:val="28"/>
                <w:lang w:val="nl-NL"/>
              </w:rPr>
              <w:t xml:space="preserve">      </w:t>
            </w:r>
            <w:r>
              <w:rPr>
                <w:rFonts w:ascii="Times New Roman" w:eastAsia="Times New Roman" w:hAnsi="Times New Roman"/>
                <w:b/>
                <w:sz w:val="24"/>
                <w:szCs w:val="24"/>
                <w:lang w:val="nl-NL"/>
              </w:rPr>
              <w:t>BỘ NỘI VỤ</w:t>
            </w:r>
          </w:p>
          <w:p w:rsidR="00A83EE3" w:rsidRDefault="00904E0F">
            <w:pPr>
              <w:spacing w:before="120" w:after="120" w:line="240" w:lineRule="auto"/>
              <w:rPr>
                <w:rFonts w:ascii="Times New Roman" w:eastAsia="Times New Roman" w:hAnsi="Times New Roman"/>
                <w:sz w:val="28"/>
                <w:szCs w:val="28"/>
                <w:lang w:val="nl-NL"/>
              </w:rPr>
            </w:pPr>
            <w:r>
              <w:rPr>
                <w:rFonts w:ascii="Times New Roman" w:eastAsia="Times New Roman" w:hAnsi="Times New Roman"/>
                <w:b/>
                <w:sz w:val="24"/>
                <w:szCs w:val="28"/>
                <w:lang w:val="nl-NL"/>
              </w:rPr>
              <w:t xml:space="preserve">              </w:t>
            </w:r>
          </w:p>
          <w:p w:rsidR="00A83EE3" w:rsidRDefault="00904E0F">
            <w:pPr>
              <w:spacing w:before="120" w:after="120" w:line="240" w:lineRule="auto"/>
              <w:rPr>
                <w:rFonts w:ascii="Times New Roman" w:hAnsi="Times New Roman"/>
                <w:sz w:val="24"/>
                <w:szCs w:val="24"/>
                <w:lang w:val="nl-NL"/>
              </w:rPr>
            </w:pPr>
            <w:r>
              <w:rPr>
                <w:rFonts w:ascii="Times New Roman" w:eastAsia="Times New Roman" w:hAnsi="Times New Roman"/>
                <w:sz w:val="24"/>
                <w:szCs w:val="24"/>
                <w:lang w:val="nl-NL"/>
              </w:rPr>
              <w:t xml:space="preserve"> </w:t>
            </w:r>
          </w:p>
        </w:tc>
        <w:tc>
          <w:tcPr>
            <w:tcW w:w="2670" w:type="pct"/>
          </w:tcPr>
          <w:p w:rsidR="00A83EE3" w:rsidRDefault="00904E0F">
            <w:pPr>
              <w:spacing w:after="0" w:line="240" w:lineRule="auto"/>
              <w:jc w:val="center"/>
              <w:rPr>
                <w:rFonts w:ascii="Times New Roman" w:eastAsia="Times New Roman" w:hAnsi="Times New Roman"/>
                <w:b/>
                <w:sz w:val="24"/>
                <w:szCs w:val="28"/>
                <w:lang w:val="nl-NL"/>
              </w:rPr>
            </w:pPr>
            <w:r>
              <w:rPr>
                <w:rFonts w:ascii="Times New Roman" w:eastAsia="Times New Roman" w:hAnsi="Times New Roman"/>
                <w:b/>
                <w:sz w:val="24"/>
                <w:szCs w:val="28"/>
                <w:lang w:val="nl-NL"/>
              </w:rPr>
              <w:t>CỘNG HOÀ XÃ HỘI CHỦ NGHĨA VIỆT NAM</w:t>
            </w:r>
          </w:p>
          <w:p w:rsidR="00A83EE3" w:rsidRDefault="00904E0F">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Độc lập </w:t>
            </w:r>
            <w:r>
              <w:rPr>
                <w:rFonts w:ascii="Times New Roman" w:eastAsia="Times New Roman" w:hAnsi="Times New Roman"/>
                <w:sz w:val="28"/>
                <w:szCs w:val="28"/>
              </w:rPr>
              <w:t>-</w:t>
            </w:r>
            <w:r>
              <w:rPr>
                <w:rFonts w:ascii="Times New Roman" w:eastAsia="Times New Roman" w:hAnsi="Times New Roman"/>
                <w:b/>
                <w:sz w:val="28"/>
                <w:szCs w:val="28"/>
              </w:rPr>
              <w:t xml:space="preserve"> Tự do </w:t>
            </w:r>
            <w:r>
              <w:rPr>
                <w:rFonts w:ascii="Times New Roman" w:eastAsia="Times New Roman" w:hAnsi="Times New Roman"/>
                <w:sz w:val="28"/>
                <w:szCs w:val="28"/>
              </w:rPr>
              <w:t>-</w:t>
            </w:r>
            <w:r>
              <w:rPr>
                <w:rFonts w:ascii="Times New Roman" w:eastAsia="Times New Roman" w:hAnsi="Times New Roman"/>
                <w:b/>
                <w:sz w:val="28"/>
                <w:szCs w:val="28"/>
              </w:rPr>
              <w:t xml:space="preserve"> Hạnh phúc</w:t>
            </w:r>
          </w:p>
          <w:p w:rsidR="00A83EE3" w:rsidRDefault="00904E0F">
            <w:pPr>
              <w:spacing w:before="240" w:after="240" w:line="240" w:lineRule="auto"/>
              <w:jc w:val="center"/>
              <w:rPr>
                <w:rFonts w:ascii="Times New Roman" w:eastAsia="Times New Roman" w:hAnsi="Times New Roman"/>
                <w:i/>
                <w:sz w:val="27"/>
                <w:szCs w:val="27"/>
              </w:rPr>
            </w:pPr>
            <w:r>
              <w:rPr>
                <w:rFonts w:ascii="Times New Roman" w:eastAsia="Times New Roman" w:hAnsi="Times New Roman"/>
                <w:i/>
                <w:noProof/>
                <w:sz w:val="27"/>
                <w:szCs w:val="27"/>
                <w:lang w:val="en-US"/>
              </w:rPr>
              <mc:AlternateContent>
                <mc:Choice Requires="wps">
                  <w:drawing>
                    <wp:anchor distT="0" distB="0" distL="114300" distR="114300" simplePos="0" relativeHeight="251660288" behindDoc="0" locked="0" layoutInCell="1" allowOverlap="1">
                      <wp:simplePos x="0" y="0"/>
                      <wp:positionH relativeFrom="column">
                        <wp:posOffset>1177290</wp:posOffset>
                      </wp:positionH>
                      <wp:positionV relativeFrom="paragraph">
                        <wp:posOffset>38735</wp:posOffset>
                      </wp:positionV>
                      <wp:extent cx="21145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211455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92.7pt;margin-top:3.05pt;height:0.75pt;width:166.5pt;z-index:251660288;mso-width-relative:page;mso-height-relative:page;" filled="f" stroked="t" coordsize="21600,21600" o:gfxdata="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O0Rnx&#10;1AAAAAcBAAAPAAAAAAAAAAEAIAAAACIAAABkcnMvZG93bnJldi54bWxQSwECFAAUAAAACACHTuJA&#10;KtT+pewBAADjAwAADgAAAAAAAAABACAAAAAjAQAAZHJzL2Uyb0RvYy54bWxQSwUGAAAAAAYABgBZ&#10;AQAAgQUAAAAA&#10;">
                      <v:fill on="f" focussize="0,0"/>
                      <v:stroke color="#4A7EBB [3204]" joinstyle="round"/>
                      <v:imagedata o:title=""/>
                      <o:lock v:ext="edit" aspectratio="f"/>
                    </v:line>
                  </w:pict>
                </mc:Fallback>
              </mc:AlternateContent>
            </w:r>
            <w:r>
              <w:rPr>
                <w:rFonts w:ascii="Times New Roman" w:eastAsia="Times New Roman" w:hAnsi="Times New Roman"/>
                <w:i/>
                <w:sz w:val="27"/>
                <w:szCs w:val="27"/>
              </w:rPr>
              <w:t>Hà Nội, ngày</w:t>
            </w:r>
            <w:r>
              <w:rPr>
                <w:rFonts w:ascii="Times New Roman" w:hAnsi="Times New Roman"/>
                <w:i/>
                <w:sz w:val="27"/>
                <w:szCs w:val="27"/>
              </w:rPr>
              <w:t xml:space="preserve">   </w:t>
            </w:r>
            <w:r>
              <w:rPr>
                <w:rFonts w:ascii="Times New Roman" w:hAnsi="Times New Roman"/>
                <w:i/>
                <w:sz w:val="27"/>
                <w:szCs w:val="27"/>
                <w:lang w:val="en-US"/>
              </w:rPr>
              <w:t xml:space="preserve"> </w:t>
            </w:r>
            <w:r>
              <w:rPr>
                <w:rFonts w:ascii="Times New Roman" w:hAnsi="Times New Roman"/>
                <w:i/>
                <w:sz w:val="27"/>
                <w:szCs w:val="27"/>
              </w:rPr>
              <w:t xml:space="preserve">  </w:t>
            </w:r>
            <w:r>
              <w:rPr>
                <w:rFonts w:ascii="Times New Roman" w:eastAsia="Times New Roman" w:hAnsi="Times New Roman"/>
                <w:i/>
                <w:sz w:val="27"/>
                <w:szCs w:val="27"/>
              </w:rPr>
              <w:t>tháng</w:t>
            </w:r>
            <w:r>
              <w:rPr>
                <w:rFonts w:ascii="Times New Roman" w:hAnsi="Times New Roman"/>
                <w:i/>
                <w:sz w:val="27"/>
                <w:szCs w:val="27"/>
              </w:rPr>
              <w:t xml:space="preserve">      </w:t>
            </w:r>
            <w:r>
              <w:rPr>
                <w:rFonts w:ascii="Times New Roman" w:eastAsia="Times New Roman" w:hAnsi="Times New Roman"/>
                <w:i/>
                <w:sz w:val="27"/>
                <w:szCs w:val="27"/>
              </w:rPr>
              <w:t>năm</w:t>
            </w:r>
            <w:r>
              <w:rPr>
                <w:rFonts w:ascii="Times New Roman" w:eastAsia="Times New Roman" w:hAnsi="Times New Roman"/>
                <w:i/>
                <w:sz w:val="27"/>
                <w:szCs w:val="27"/>
                <w:lang w:val="en-US"/>
              </w:rPr>
              <w:t xml:space="preserve"> 2025</w:t>
            </w:r>
            <w:r>
              <w:rPr>
                <w:rFonts w:ascii="Times New Roman" w:eastAsia="Times New Roman" w:hAnsi="Times New Roman"/>
                <w:i/>
                <w:sz w:val="27"/>
                <w:szCs w:val="27"/>
              </w:rPr>
              <w:t xml:space="preserve">  </w:t>
            </w:r>
          </w:p>
        </w:tc>
      </w:tr>
    </w:tbl>
    <w:p w:rsidR="00A83EE3" w:rsidRDefault="00904E0F">
      <w:pPr>
        <w:spacing w:after="0" w:line="240" w:lineRule="auto"/>
        <w:jc w:val="center"/>
        <w:rPr>
          <w:rFonts w:ascii="Times New Roman" w:hAnsi="Times New Roman" w:cs="Times New Roman"/>
          <w:b/>
          <w:sz w:val="25"/>
          <w:szCs w:val="25"/>
          <w:lang w:val="en-US"/>
        </w:rPr>
      </w:pPr>
      <w:r>
        <w:rPr>
          <w:rFonts w:ascii="Times New Roman" w:hAnsi="Times New Roman" w:cs="Times New Roman"/>
          <w:b/>
          <w:sz w:val="25"/>
          <w:szCs w:val="25"/>
          <w:lang w:val="en-US"/>
        </w:rPr>
        <w:t xml:space="preserve">BẢN SO SÁNH, THUYẾT MINH NỘI DUNG DỰ THẢO NGHỊ ĐỊNH QUY ĐỊNH </w:t>
      </w:r>
    </w:p>
    <w:p w:rsidR="00A83EE3" w:rsidRDefault="00904E0F">
      <w:pPr>
        <w:spacing w:after="0" w:line="240" w:lineRule="auto"/>
        <w:jc w:val="center"/>
        <w:rPr>
          <w:rFonts w:ascii="Times New Roman" w:hAnsi="Times New Roman" w:cs="Times New Roman"/>
          <w:b/>
          <w:sz w:val="25"/>
          <w:szCs w:val="25"/>
          <w:lang w:val="en-US"/>
        </w:rPr>
      </w:pPr>
      <w:r>
        <w:rPr>
          <w:rFonts w:ascii="Times New Roman" w:hAnsi="Times New Roman" w:cs="Times New Roman"/>
          <w:b/>
          <w:sz w:val="25"/>
          <w:szCs w:val="25"/>
          <w:lang w:val="en-US"/>
        </w:rPr>
        <w:t xml:space="preserve">VỀ TRÌNH TỰ, THỦ TỤC THÀNH LẬP, CHẾ ĐỘ LÀM VIỆC, TRÁCH NHIỆM, KINH PHÍ HOẠT ĐỘNG VÀ BỘ MÁY </w:t>
      </w:r>
    </w:p>
    <w:p w:rsidR="00A83EE3" w:rsidRDefault="00904E0F">
      <w:pPr>
        <w:spacing w:after="0" w:line="240" w:lineRule="auto"/>
        <w:jc w:val="center"/>
        <w:rPr>
          <w:rFonts w:ascii="Times New Roman" w:hAnsi="Times New Roman" w:cs="Times New Roman"/>
          <w:b/>
          <w:sz w:val="25"/>
          <w:szCs w:val="25"/>
          <w:lang w:val="en-US"/>
        </w:rPr>
      </w:pPr>
      <w:r>
        <w:rPr>
          <w:rFonts w:ascii="Times New Roman" w:hAnsi="Times New Roman" w:cs="Times New Roman"/>
          <w:b/>
          <w:sz w:val="25"/>
          <w:szCs w:val="25"/>
          <w:lang w:val="en-US"/>
        </w:rPr>
        <w:t xml:space="preserve">GIÚP VIỆC CỦA HỘI ĐỒNG QUẢN LÝ BẢO HIỂM XÃ HỘI </w:t>
      </w:r>
    </w:p>
    <w:p w:rsidR="00A83EE3" w:rsidRDefault="00904E0F">
      <w:pPr>
        <w:spacing w:after="0" w:line="240" w:lineRule="auto"/>
        <w:jc w:val="center"/>
        <w:rPr>
          <w:rFonts w:ascii="Times New Roman" w:hAnsi="Times New Roman" w:cs="Times New Roman"/>
          <w:b/>
          <w:sz w:val="25"/>
          <w:szCs w:val="25"/>
          <w:lang w:val="en-US"/>
        </w:rPr>
      </w:pPr>
      <w:r>
        <w:rPr>
          <w:rFonts w:ascii="Times New Roman" w:hAnsi="Times New Roman" w:cs="Times New Roman"/>
          <w:b/>
          <w:sz w:val="25"/>
          <w:szCs w:val="25"/>
          <w:lang w:val="en-US"/>
        </w:rPr>
        <w:t>VỚI CÁC QUY ĐỊNH CỦA PHÁP LUẬT HIỆN HÀNH</w:t>
      </w:r>
    </w:p>
    <w:p w:rsidR="00A83EE3" w:rsidRDefault="00904E0F">
      <w:pPr>
        <w:spacing w:line="240" w:lineRule="auto"/>
        <w:jc w:val="center"/>
        <w:rPr>
          <w:rFonts w:ascii="Times New Roman" w:hAnsi="Times New Roman"/>
          <w:sz w:val="27"/>
          <w:szCs w:val="27"/>
        </w:rPr>
      </w:pPr>
      <w:r>
        <w:rPr>
          <w:rFonts w:ascii="Times New Roman" w:hAnsi="Times New Roman"/>
          <w:sz w:val="27"/>
          <w:szCs w:val="27"/>
        </w:rPr>
        <w:t>(</w:t>
      </w:r>
      <w:r>
        <w:rPr>
          <w:rFonts w:ascii="Times New Roman" w:hAnsi="Times New Roman"/>
          <w:i/>
          <w:sz w:val="27"/>
          <w:szCs w:val="27"/>
        </w:rPr>
        <w:t>Kèm theo Tờ trình số          /TTr-B</w:t>
      </w:r>
      <w:r>
        <w:rPr>
          <w:rFonts w:ascii="Times New Roman" w:hAnsi="Times New Roman"/>
          <w:i/>
          <w:sz w:val="27"/>
          <w:szCs w:val="27"/>
          <w:lang w:val="en-US"/>
        </w:rPr>
        <w:t xml:space="preserve">NV </w:t>
      </w:r>
      <w:r>
        <w:rPr>
          <w:rFonts w:ascii="Times New Roman" w:hAnsi="Times New Roman"/>
          <w:i/>
          <w:sz w:val="27"/>
          <w:szCs w:val="27"/>
        </w:rPr>
        <w:t xml:space="preserve">ngày  </w:t>
      </w:r>
      <w:r>
        <w:rPr>
          <w:rFonts w:ascii="Times New Roman" w:hAnsi="Times New Roman"/>
          <w:i/>
          <w:sz w:val="27"/>
          <w:szCs w:val="27"/>
          <w:lang w:val="en-US"/>
        </w:rPr>
        <w:t xml:space="preserve">       </w:t>
      </w:r>
      <w:r>
        <w:rPr>
          <w:rFonts w:ascii="Times New Roman" w:hAnsi="Times New Roman"/>
          <w:i/>
          <w:sz w:val="27"/>
          <w:szCs w:val="27"/>
        </w:rPr>
        <w:t xml:space="preserve">    /  </w:t>
      </w:r>
      <w:r>
        <w:rPr>
          <w:rFonts w:ascii="Times New Roman" w:hAnsi="Times New Roman"/>
          <w:i/>
          <w:sz w:val="27"/>
          <w:szCs w:val="27"/>
          <w:lang w:val="en-US"/>
        </w:rPr>
        <w:t xml:space="preserve">   </w:t>
      </w:r>
      <w:r>
        <w:rPr>
          <w:rFonts w:ascii="Times New Roman" w:hAnsi="Times New Roman"/>
          <w:i/>
          <w:sz w:val="27"/>
          <w:szCs w:val="27"/>
        </w:rPr>
        <w:t xml:space="preserve">  /2025 của Bộ </w:t>
      </w:r>
      <w:r>
        <w:rPr>
          <w:rFonts w:ascii="Times New Roman" w:hAnsi="Times New Roman"/>
          <w:i/>
          <w:sz w:val="27"/>
          <w:szCs w:val="27"/>
          <w:lang w:val="en-US"/>
        </w:rPr>
        <w:t>Nội vụ</w:t>
      </w:r>
      <w:r>
        <w:rPr>
          <w:rFonts w:ascii="Times New Roman" w:hAnsi="Times New Roman"/>
          <w:sz w:val="27"/>
          <w:szCs w:val="27"/>
        </w:rPr>
        <w:t>)</w:t>
      </w:r>
    </w:p>
    <w:tbl>
      <w:tblPr>
        <w:tblStyle w:val="TableGrid"/>
        <w:tblpPr w:leftFromText="180" w:rightFromText="180" w:vertAnchor="text" w:tblpX="-255" w:tblpY="1"/>
        <w:tblOverlap w:val="never"/>
        <w:tblW w:w="5196" w:type="pct"/>
        <w:tblLayout w:type="fixed"/>
        <w:tblLook w:val="04A0" w:firstRow="1" w:lastRow="0" w:firstColumn="1" w:lastColumn="0" w:noHBand="0" w:noVBand="1"/>
      </w:tblPr>
      <w:tblGrid>
        <w:gridCol w:w="4858"/>
        <w:gridCol w:w="4855"/>
        <w:gridCol w:w="5302"/>
      </w:tblGrid>
      <w:tr w:rsidR="00A83EE3">
        <w:trPr>
          <w:trHeight w:val="449"/>
        </w:trPr>
        <w:tc>
          <w:tcPr>
            <w:tcW w:w="1617" w:type="pct"/>
            <w:tcBorders>
              <w:bottom w:val="single" w:sz="4" w:space="0" w:color="auto"/>
            </w:tcBorders>
          </w:tcPr>
          <w:p w:rsidR="00A83EE3" w:rsidRDefault="00904E0F">
            <w:pPr>
              <w:spacing w:before="60" w:after="60" w:line="264" w:lineRule="auto"/>
              <w:jc w:val="center"/>
              <w:rPr>
                <w:rFonts w:ascii="Times New Roman" w:hAnsi="Times New Roman" w:cs="Times New Roman"/>
                <w:b/>
                <w:sz w:val="26"/>
                <w:szCs w:val="26"/>
                <w:lang w:val="en-US"/>
              </w:rPr>
            </w:pPr>
            <w:r>
              <w:rPr>
                <w:rFonts w:ascii="Times New Roman" w:hAnsi="Times New Roman" w:cs="Times New Roman"/>
                <w:b/>
                <w:bCs/>
                <w:sz w:val="24"/>
                <w:szCs w:val="24"/>
                <w:lang w:val="en-US"/>
              </w:rPr>
              <w:t>VĂN BẢN ĐƯỢC SỬA ĐỔI, BỔ SUNG, THAY THẾ</w:t>
            </w:r>
          </w:p>
        </w:tc>
        <w:tc>
          <w:tcPr>
            <w:tcW w:w="1616" w:type="pct"/>
            <w:tcBorders>
              <w:bottom w:val="single" w:sz="4" w:space="0" w:color="auto"/>
            </w:tcBorders>
            <w:vAlign w:val="center"/>
          </w:tcPr>
          <w:p w:rsidR="00A83EE3" w:rsidRDefault="00904E0F">
            <w:pPr>
              <w:spacing w:before="60" w:after="60" w:line="264" w:lineRule="auto"/>
              <w:jc w:val="center"/>
              <w:rPr>
                <w:rFonts w:ascii="Times New Roman" w:hAnsi="Times New Roman" w:cs="Times New Roman"/>
                <w:b/>
                <w:sz w:val="26"/>
                <w:szCs w:val="26"/>
                <w:lang w:val="en-US"/>
              </w:rPr>
            </w:pPr>
            <w:r>
              <w:rPr>
                <w:rFonts w:ascii="Times New Roman" w:hAnsi="Times New Roman" w:cs="Times New Roman"/>
                <w:b/>
                <w:bCs/>
                <w:sz w:val="24"/>
                <w:szCs w:val="24"/>
                <w:lang w:val="en-US"/>
              </w:rPr>
              <w:t>DỰ THẢO VĂN BẢN</w:t>
            </w:r>
          </w:p>
        </w:tc>
        <w:tc>
          <w:tcPr>
            <w:tcW w:w="1765" w:type="pct"/>
            <w:tcBorders>
              <w:bottom w:val="single" w:sz="4" w:space="0" w:color="auto"/>
            </w:tcBorders>
            <w:vAlign w:val="center"/>
          </w:tcPr>
          <w:p w:rsidR="00A83EE3" w:rsidRDefault="00904E0F">
            <w:pPr>
              <w:spacing w:after="0" w:line="264"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THUYẾT MINH</w:t>
            </w:r>
          </w:p>
        </w:tc>
      </w:tr>
      <w:tr w:rsidR="00A83EE3">
        <w:trPr>
          <w:trHeight w:val="312"/>
        </w:trPr>
        <w:tc>
          <w:tcPr>
            <w:tcW w:w="1617" w:type="pct"/>
          </w:tcPr>
          <w:p w:rsidR="00A83EE3" w:rsidRDefault="00A83EE3">
            <w:pPr>
              <w:spacing w:before="60" w:after="60" w:line="252" w:lineRule="auto"/>
              <w:rPr>
                <w:rFonts w:ascii="Times New Roman" w:hAnsi="Times New Roman" w:cs="Times New Roman"/>
                <w:b/>
                <w:bCs/>
                <w:sz w:val="26"/>
                <w:szCs w:val="26"/>
                <w:lang w:val="en-US"/>
              </w:rPr>
            </w:pPr>
          </w:p>
        </w:tc>
        <w:tc>
          <w:tcPr>
            <w:tcW w:w="1616" w:type="pct"/>
            <w:shd w:val="clear" w:color="auto" w:fill="auto"/>
            <w:vAlign w:val="center"/>
          </w:tcPr>
          <w:p w:rsidR="00A83EE3" w:rsidRDefault="00904E0F">
            <w:pPr>
              <w:spacing w:before="60" w:after="60" w:line="252" w:lineRule="auto"/>
              <w:rPr>
                <w:rFonts w:ascii="Times New Roman" w:hAnsi="Times New Roman" w:cs="Times New Roman"/>
                <w:b/>
                <w:bCs/>
                <w:sz w:val="26"/>
                <w:szCs w:val="26"/>
                <w:lang w:val="en-US"/>
              </w:rPr>
            </w:pPr>
            <w:r>
              <w:rPr>
                <w:rFonts w:ascii="Times New Roman" w:hAnsi="Times New Roman" w:cs="Times New Roman"/>
                <w:b/>
                <w:bCs/>
                <w:sz w:val="26"/>
                <w:szCs w:val="26"/>
                <w:lang w:val="en-US"/>
              </w:rPr>
              <w:t xml:space="preserve">Điều 1. Vị trí và chức năng </w:t>
            </w:r>
          </w:p>
        </w:tc>
        <w:tc>
          <w:tcPr>
            <w:tcW w:w="1765" w:type="pct"/>
            <w:vAlign w:val="center"/>
          </w:tcPr>
          <w:p w:rsidR="00A83EE3" w:rsidRDefault="00A83EE3">
            <w:pPr>
              <w:spacing w:before="60" w:after="60" w:line="252" w:lineRule="auto"/>
              <w:rPr>
                <w:rFonts w:ascii="Times New Roman" w:hAnsi="Times New Roman" w:cs="Times New Roman"/>
                <w:sz w:val="26"/>
                <w:szCs w:val="26"/>
                <w:lang w:val="en-US"/>
              </w:rPr>
            </w:pPr>
          </w:p>
        </w:tc>
      </w:tr>
      <w:tr w:rsidR="00A83EE3">
        <w:trPr>
          <w:trHeight w:val="312"/>
        </w:trPr>
        <w:tc>
          <w:tcPr>
            <w:tcW w:w="1617" w:type="pct"/>
          </w:tcPr>
          <w:p w:rsidR="00A83EE3" w:rsidRDefault="00904E0F">
            <w:pPr>
              <w:spacing w:before="60" w:after="60" w:line="252" w:lineRule="auto"/>
              <w:rPr>
                <w:rFonts w:ascii="Times New Roman" w:hAnsi="Times New Roman" w:cs="Times New Roman"/>
                <w:b/>
                <w:i/>
                <w:sz w:val="26"/>
                <w:szCs w:val="26"/>
                <w:lang w:val="en-US"/>
              </w:rPr>
            </w:pPr>
            <w:r>
              <w:rPr>
                <w:rFonts w:ascii="Times New Roman" w:hAnsi="Times New Roman" w:cs="Times New Roman"/>
                <w:b/>
                <w:i/>
                <w:sz w:val="26"/>
                <w:szCs w:val="26"/>
                <w:lang w:val="en-US"/>
              </w:rPr>
              <w:t>1. Nghị định 89/2020/NĐ-CP ngày 08/4/2020 của Chính phủ</w:t>
            </w:r>
          </w:p>
          <w:p w:rsidR="00A83EE3" w:rsidRDefault="00904E0F">
            <w:pPr>
              <w:shd w:val="clear" w:color="auto" w:fill="FFFFFF"/>
              <w:spacing w:before="60" w:after="60" w:line="252" w:lineRule="auto"/>
              <w:rPr>
                <w:rFonts w:ascii="Times New Roman" w:eastAsia="Times New Roman" w:hAnsi="Times New Roman" w:cs="Times New Roman"/>
                <w:color w:val="000000"/>
                <w:sz w:val="26"/>
                <w:szCs w:val="26"/>
              </w:rPr>
            </w:pPr>
            <w:r>
              <w:rPr>
                <w:rFonts w:ascii="Times New Roman" w:hAnsi="Times New Roman" w:cs="Times New Roman"/>
                <w:color w:val="000000" w:themeColor="text1"/>
                <w:sz w:val="26"/>
                <w:szCs w:val="26"/>
                <w:lang w:val="pt-BR"/>
              </w:rPr>
              <w:t>Chương III, Khoản 1 Điều 10. Hội đồng quản lý bảo hiểm xã hội</w:t>
            </w:r>
          </w:p>
          <w:p w:rsidR="00A83EE3" w:rsidRDefault="00904E0F">
            <w:pPr>
              <w:shd w:val="clear" w:color="auto" w:fill="FFFFFF"/>
              <w:spacing w:before="60" w:after="60" w:line="252" w:lineRule="auto"/>
              <w:rPr>
                <w:rFonts w:ascii="Times New Roman" w:hAnsi="Times New Roman" w:cs="Times New Roman"/>
                <w:color w:val="000000" w:themeColor="text1"/>
                <w:sz w:val="26"/>
                <w:szCs w:val="26"/>
                <w:lang w:val="pt-BR"/>
              </w:rPr>
            </w:pPr>
            <w:r>
              <w:rPr>
                <w:rFonts w:ascii="Times New Roman" w:eastAsia="Times New Roman" w:hAnsi="Times New Roman" w:cs="Times New Roman"/>
                <w:i/>
                <w:color w:val="000000"/>
                <w:sz w:val="26"/>
                <w:szCs w:val="26"/>
                <w:lang w:val="fr-FR"/>
              </w:rPr>
              <w:t>1. Hội đồng quản lý bảo hiểm xã hội (sau đây gọi là Hội đồng quản lý) giúp Chính phủ, Thủ tướng Chính phủ chỉ đạo, giám sát hoạt động của Bảo hiểm xã hội Việt Nam và tư vấn về chính sách bảo hiểm xã hội, bảo hiểm thất nghiệp, bảo hiểm y tế.</w:t>
            </w:r>
          </w:p>
        </w:tc>
        <w:tc>
          <w:tcPr>
            <w:tcW w:w="1616" w:type="pct"/>
            <w:shd w:val="clear" w:color="auto" w:fill="auto"/>
            <w:vAlign w:val="center"/>
          </w:tcPr>
          <w:p w:rsidR="00A83EE3" w:rsidRDefault="00904E0F">
            <w:pPr>
              <w:spacing w:before="60" w:after="60" w:line="252" w:lineRule="auto"/>
              <w:rPr>
                <w:rFonts w:ascii="Times New Roman" w:hAnsi="Times New Roman" w:cs="Times New Roman"/>
                <w:b/>
                <w:bCs/>
                <w:sz w:val="26"/>
                <w:szCs w:val="26"/>
                <w:lang w:val="en-US"/>
              </w:rPr>
            </w:pPr>
            <w:r>
              <w:rPr>
                <w:rFonts w:ascii="Times New Roman" w:hAnsi="Times New Roman" w:cs="Times New Roman"/>
                <w:color w:val="000000" w:themeColor="text1"/>
                <w:sz w:val="26"/>
                <w:szCs w:val="26"/>
                <w:lang w:val="pt-BR"/>
              </w:rPr>
              <w:t xml:space="preserve">1. Hội đồng quản lý bảo hiểm xã hội (sau đây được viết là Hội đồng quản lý) </w:t>
            </w:r>
            <w:r>
              <w:rPr>
                <w:rFonts w:ascii="Times New Roman" w:hAnsi="Times New Roman" w:cs="Times New Roman"/>
                <w:b/>
                <w:color w:val="000000" w:themeColor="text1"/>
                <w:sz w:val="26"/>
                <w:szCs w:val="26"/>
                <w:lang w:val="pt-BR"/>
              </w:rPr>
              <w:t>được tổ chức ở cấp quốc gia, có trách nhiệm</w:t>
            </w:r>
            <w:r>
              <w:rPr>
                <w:rFonts w:ascii="Times New Roman" w:hAnsi="Times New Roman" w:cs="Times New Roman"/>
                <w:color w:val="000000" w:themeColor="text1"/>
                <w:sz w:val="26"/>
                <w:szCs w:val="26"/>
                <w:lang w:val="pt-BR"/>
              </w:rPr>
              <w:t xml:space="preserve"> giúp Chính phủ, Thủ tướng Chính phủ chỉ đạo, giám sát hoạt động của cơ quan bảo hiểm xã hội và tư vấn chính sách bảo hiểm xã hội, bảo hiểm thất nghiệp, bảo hiểm y tế.</w:t>
            </w:r>
          </w:p>
        </w:tc>
        <w:tc>
          <w:tcPr>
            <w:tcW w:w="1765" w:type="pct"/>
            <w:vAlign w:val="center"/>
          </w:tcPr>
          <w:p w:rsidR="00A83EE3" w:rsidRDefault="00904E0F" w:rsidP="008D6F4A">
            <w:pPr>
              <w:spacing w:before="60" w:after="60" w:line="252" w:lineRule="auto"/>
              <w:rPr>
                <w:rFonts w:ascii="Times New Roman" w:hAnsi="Times New Roman" w:cs="Times New Roman"/>
                <w:sz w:val="26"/>
                <w:szCs w:val="26"/>
                <w:lang w:val="en-US"/>
              </w:rPr>
            </w:pPr>
            <w:r>
              <w:rPr>
                <w:rFonts w:ascii="Times New Roman" w:hAnsi="Times New Roman" w:cs="Times New Roman"/>
                <w:color w:val="000000" w:themeColor="text1"/>
                <w:sz w:val="26"/>
                <w:szCs w:val="26"/>
                <w:lang w:val="en-US"/>
              </w:rPr>
              <w:t xml:space="preserve">Kế thừa quy định đã có trong Nghị định 89/2020/NĐ-CP và đảm bảo trích dẫn đầy đủ, nguyên vẹn quy định tại khoản 1 Điều 19 của Luật BHXH số 41/2024/QH15: </w:t>
            </w:r>
            <w:r>
              <w:rPr>
                <w:rFonts w:ascii="Times New Roman" w:hAnsi="Times New Roman" w:cs="Times New Roman"/>
                <w:i/>
                <w:color w:val="000000" w:themeColor="text1"/>
                <w:sz w:val="26"/>
                <w:szCs w:val="26"/>
                <w:lang w:val="pt-BR"/>
              </w:rPr>
              <w:t xml:space="preserve">“Hội đồng quản lý bảo hiểm xã hội (sau đây được viết là Hội đồng quản lý) </w:t>
            </w:r>
            <w:r>
              <w:rPr>
                <w:rFonts w:ascii="Times New Roman" w:hAnsi="Times New Roman" w:cs="Times New Roman"/>
                <w:b/>
                <w:i/>
                <w:color w:val="000000" w:themeColor="text1"/>
                <w:sz w:val="26"/>
                <w:szCs w:val="26"/>
                <w:lang w:val="pt-BR"/>
              </w:rPr>
              <w:t>được tổ chức ở cấp quốc gia, có trách nhiệm</w:t>
            </w:r>
            <w:r>
              <w:rPr>
                <w:rFonts w:ascii="Times New Roman" w:hAnsi="Times New Roman" w:cs="Times New Roman"/>
                <w:i/>
                <w:color w:val="000000" w:themeColor="text1"/>
                <w:sz w:val="26"/>
                <w:szCs w:val="26"/>
                <w:lang w:val="pt-BR"/>
              </w:rPr>
              <w:t xml:space="preserve"> giúp Chính phủ, Thủ tướng Chính phủ chỉ đạo, giám sát hoạt động của cơ quan bảo hiểm xã hội và tư vấn chính sách bảo hiểm xã hội, bảo hiểm thất nghiệp, bảo hiểm y tế.”</w:t>
            </w:r>
          </w:p>
        </w:tc>
      </w:tr>
      <w:tr w:rsidR="00A83EE3">
        <w:trPr>
          <w:trHeight w:val="312"/>
        </w:trPr>
        <w:tc>
          <w:tcPr>
            <w:tcW w:w="1617" w:type="pct"/>
          </w:tcPr>
          <w:p w:rsidR="00A83EE3" w:rsidRDefault="00904E0F">
            <w:pPr>
              <w:spacing w:before="60" w:after="60" w:line="252" w:lineRule="auto"/>
              <w:rPr>
                <w:rFonts w:ascii="Times New Roman" w:hAnsi="Times New Roman" w:cs="Times New Roman"/>
                <w:b/>
                <w:i/>
                <w:sz w:val="26"/>
                <w:szCs w:val="26"/>
                <w:lang w:val="en-US"/>
              </w:rPr>
            </w:pPr>
            <w:r>
              <w:rPr>
                <w:rFonts w:ascii="Times New Roman" w:hAnsi="Times New Roman" w:cs="Times New Roman"/>
                <w:b/>
                <w:i/>
                <w:sz w:val="26"/>
                <w:szCs w:val="26"/>
                <w:lang w:val="en-US"/>
              </w:rPr>
              <w:t>1. Nghị định 89/2020/NĐ-CP ngày 08/4/2020 của Chính phủ</w:t>
            </w:r>
          </w:p>
          <w:p w:rsidR="00A83EE3" w:rsidRDefault="00904E0F">
            <w:pPr>
              <w:shd w:val="clear" w:color="auto" w:fill="FFFFFF"/>
              <w:spacing w:before="60" w:after="60" w:line="252" w:lineRule="auto"/>
              <w:rPr>
                <w:rFonts w:ascii="Times New Roman" w:eastAsia="Times New Roman" w:hAnsi="Times New Roman" w:cs="Times New Roman"/>
                <w:color w:val="000000"/>
                <w:sz w:val="26"/>
                <w:szCs w:val="26"/>
              </w:rPr>
            </w:pPr>
            <w:r>
              <w:rPr>
                <w:rFonts w:ascii="Times New Roman" w:hAnsi="Times New Roman" w:cs="Times New Roman"/>
                <w:color w:val="000000" w:themeColor="text1"/>
                <w:sz w:val="26"/>
                <w:szCs w:val="26"/>
                <w:lang w:val="pt-BR"/>
              </w:rPr>
              <w:t>Chương III, Khoản 8 Điều 11. Chế độ làm việc của Hội đồng quản lý bảo hiểm xã hội</w:t>
            </w:r>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lang w:val="fr-FR"/>
              </w:rPr>
            </w:pPr>
            <w:r>
              <w:rPr>
                <w:rFonts w:ascii="Times New Roman" w:eastAsia="Times New Roman" w:hAnsi="Times New Roman" w:cs="Times New Roman"/>
                <w:i/>
                <w:color w:val="000000"/>
                <w:sz w:val="26"/>
                <w:szCs w:val="26"/>
                <w:lang w:val="fr-FR"/>
              </w:rPr>
              <w:t xml:space="preserve">« 8. Kinh phí hoạt động của Hội đồng quản lý do Bảo hiểm xã hội Việt Nam bảo đảm. Địa điểm làm việc của Hội đồng quản lý, Phó </w:t>
            </w:r>
            <w:r>
              <w:rPr>
                <w:rFonts w:ascii="Times New Roman" w:eastAsia="Times New Roman" w:hAnsi="Times New Roman" w:cs="Times New Roman"/>
                <w:i/>
                <w:color w:val="000000"/>
                <w:sz w:val="26"/>
                <w:szCs w:val="26"/>
                <w:lang w:val="fr-FR"/>
              </w:rPr>
              <w:lastRenderedPageBreak/>
              <w:t>Chủ tịch thường trực và Văn phòng giúp việc của Hội đồng quản lý do Bảo hiểm xã hội Việt Nam bố trí. Hội đồng quản lý sử dụng con dấu của Bảo hiểm xã hội Việt Nam để hoạt động.</w:t>
            </w:r>
          </w:p>
        </w:tc>
        <w:tc>
          <w:tcPr>
            <w:tcW w:w="1616" w:type="pct"/>
            <w:shd w:val="clear" w:color="auto" w:fill="auto"/>
            <w:vAlign w:val="center"/>
          </w:tcPr>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lastRenderedPageBreak/>
              <w:t xml:space="preserve">2. Hội đồng quản lý sử dụng con dấu </w:t>
            </w:r>
            <w:r>
              <w:rPr>
                <w:rFonts w:ascii="Times New Roman" w:hAnsi="Times New Roman" w:cs="Times New Roman"/>
                <w:b/>
                <w:color w:val="000000" w:themeColor="text1"/>
                <w:sz w:val="26"/>
                <w:szCs w:val="26"/>
                <w:lang w:val="pt-BR"/>
              </w:rPr>
              <w:t>hình Quốc huy</w:t>
            </w:r>
            <w:r>
              <w:rPr>
                <w:rFonts w:ascii="Times New Roman" w:hAnsi="Times New Roman" w:cs="Times New Roman"/>
                <w:color w:val="000000" w:themeColor="text1"/>
                <w:sz w:val="26"/>
                <w:szCs w:val="26"/>
                <w:lang w:val="pt-BR"/>
              </w:rPr>
              <w:t xml:space="preserve">, </w:t>
            </w:r>
            <w:r>
              <w:rPr>
                <w:rFonts w:ascii="Times New Roman" w:hAnsi="Times New Roman" w:cs="Times New Roman"/>
                <w:b/>
                <w:color w:val="000000" w:themeColor="text1"/>
                <w:sz w:val="26"/>
                <w:szCs w:val="26"/>
                <w:lang w:val="pt-BR"/>
              </w:rPr>
              <w:t>có trụ sở riêng</w:t>
            </w:r>
            <w:r>
              <w:rPr>
                <w:rFonts w:ascii="Times New Roman" w:hAnsi="Times New Roman" w:cs="Times New Roman"/>
                <w:color w:val="000000" w:themeColor="text1"/>
                <w:sz w:val="26"/>
                <w:szCs w:val="26"/>
                <w:lang w:val="pt-BR"/>
              </w:rPr>
              <w:t xml:space="preserve"> tại thành phố Hà Nội. </w:t>
            </w:r>
          </w:p>
        </w:tc>
        <w:tc>
          <w:tcPr>
            <w:tcW w:w="1765" w:type="pct"/>
            <w:vAlign w:val="center"/>
          </w:tcPr>
          <w:p w:rsidR="00A83EE3" w:rsidRDefault="00904E0F">
            <w:pPr>
              <w:shd w:val="clear" w:color="auto" w:fill="FFFFFF"/>
              <w:spacing w:before="60" w:after="60" w:line="252"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(1) Quy định về sử dụng con dấu: </w:t>
            </w:r>
          </w:p>
          <w:p w:rsidR="00A83EE3" w:rsidRDefault="00904E0F">
            <w:pPr>
              <w:shd w:val="clear" w:color="auto" w:fill="FFFFFF"/>
              <w:spacing w:before="60" w:after="60" w:line="252" w:lineRule="auto"/>
              <w:rPr>
                <w:rFonts w:ascii="Times New Roman" w:hAnsi="Times New Roman" w:cs="Times New Roman"/>
                <w:bCs/>
                <w:spacing w:val="-2"/>
                <w:sz w:val="26"/>
                <w:szCs w:val="26"/>
                <w:lang w:val="en-US"/>
              </w:rPr>
            </w:pPr>
            <w:r>
              <w:rPr>
                <w:rFonts w:ascii="Times New Roman" w:hAnsi="Times New Roman" w:cs="Times New Roman"/>
                <w:sz w:val="26"/>
                <w:szCs w:val="26"/>
                <w:lang w:val="en-US"/>
              </w:rPr>
              <w:t>Kế thừa quy định đã có trong Nghị định 89/2020/NĐ-CP và căn cứ</w:t>
            </w:r>
            <w:r>
              <w:rPr>
                <w:rFonts w:ascii="Times New Roman" w:hAnsi="Times New Roman" w:cs="Times New Roman"/>
                <w:bCs/>
                <w:spacing w:val="-2"/>
                <w:sz w:val="26"/>
                <w:szCs w:val="26"/>
                <w:lang w:val="en-US"/>
              </w:rPr>
              <w:t xml:space="preserve"> Điều 5 Nghị định số 99/2016/NĐ-CP ngày 01/7/2016 của Chính phủ quy định về quản lý và sử</w:t>
            </w:r>
            <w:r w:rsidR="00514CEA">
              <w:rPr>
                <w:rFonts w:ascii="Times New Roman" w:hAnsi="Times New Roman" w:cs="Times New Roman"/>
                <w:bCs/>
                <w:spacing w:val="-2"/>
                <w:sz w:val="26"/>
                <w:szCs w:val="26"/>
                <w:lang w:val="en-US"/>
              </w:rPr>
              <w:t>b</w:t>
            </w:r>
            <w:r>
              <w:rPr>
                <w:rFonts w:ascii="Times New Roman" w:hAnsi="Times New Roman" w:cs="Times New Roman"/>
                <w:bCs/>
                <w:spacing w:val="-2"/>
                <w:sz w:val="26"/>
                <w:szCs w:val="26"/>
                <w:lang w:val="en-US"/>
              </w:rPr>
              <w:t xml:space="preserve"> dụng con dấu: “</w:t>
            </w:r>
            <w:r>
              <w:rPr>
                <w:rFonts w:ascii="Times New Roman" w:eastAsia="Times New Roman" w:hAnsi="Times New Roman" w:cs="Times New Roman"/>
                <w:i/>
                <w:color w:val="000000"/>
                <w:sz w:val="26"/>
                <w:szCs w:val="26"/>
              </w:rPr>
              <w:t xml:space="preserve">1. Cơ quan, tổ chức, chức danh nhà nước chỉ được sử dụng con dấu khi đã có quy định về việc được </w:t>
            </w:r>
            <w:r>
              <w:rPr>
                <w:rFonts w:ascii="Times New Roman" w:eastAsia="Times New Roman" w:hAnsi="Times New Roman" w:cs="Times New Roman"/>
                <w:i/>
                <w:color w:val="000000"/>
                <w:sz w:val="26"/>
                <w:szCs w:val="26"/>
              </w:rPr>
              <w:lastRenderedPageBreak/>
              <w:t>phép sử dụng con dấu trong </w:t>
            </w:r>
            <w:r>
              <w:rPr>
                <w:rFonts w:ascii="Times New Roman" w:eastAsia="Times New Roman" w:hAnsi="Times New Roman" w:cs="Times New Roman"/>
                <w:i/>
                <w:color w:val="000000"/>
                <w:sz w:val="26"/>
                <w:szCs w:val="26"/>
                <w:shd w:val="clear" w:color="auto" w:fill="FFFFFF"/>
              </w:rPr>
              <w:t>văn</w:t>
            </w:r>
            <w:r>
              <w:rPr>
                <w:rFonts w:ascii="Times New Roman" w:eastAsia="Times New Roman" w:hAnsi="Times New Roman" w:cs="Times New Roman"/>
                <w:i/>
                <w:color w:val="000000"/>
                <w:sz w:val="26"/>
                <w:szCs w:val="26"/>
              </w:rPr>
              <w:t> bản quy phạm pháp luật hoặc quyết định của cơ quan có thẩm quyền; phải đăng ký mẫu con dấu trước khi </w:t>
            </w:r>
            <w:r>
              <w:rPr>
                <w:rFonts w:ascii="Times New Roman" w:eastAsia="Times New Roman" w:hAnsi="Times New Roman" w:cs="Times New Roman"/>
                <w:i/>
                <w:color w:val="000000"/>
                <w:sz w:val="26"/>
                <w:szCs w:val="26"/>
                <w:shd w:val="clear" w:color="auto" w:fill="FFFFFF"/>
              </w:rPr>
              <w:t>sử dụng</w:t>
            </w:r>
            <w:r>
              <w:rPr>
                <w:rFonts w:ascii="Times New Roman" w:eastAsia="Times New Roman" w:hAnsi="Times New Roman" w:cs="Times New Roman"/>
                <w:i/>
                <w:color w:val="000000"/>
                <w:sz w:val="26"/>
                <w:szCs w:val="26"/>
              </w:rPr>
              <w:t>.</w:t>
            </w:r>
            <w:r>
              <w:rPr>
                <w:rFonts w:ascii="Times New Roman" w:eastAsia="Times New Roman" w:hAnsi="Times New Roman" w:cs="Times New Roman"/>
                <w:i/>
                <w:color w:val="000000"/>
                <w:sz w:val="26"/>
                <w:szCs w:val="26"/>
                <w:lang w:val="en-US"/>
              </w:rPr>
              <w:t xml:space="preserve"> </w:t>
            </w:r>
            <w:r>
              <w:rPr>
                <w:rFonts w:ascii="Times New Roman" w:eastAsia="Times New Roman" w:hAnsi="Times New Roman" w:cs="Times New Roman"/>
                <w:i/>
                <w:color w:val="000000"/>
                <w:sz w:val="26"/>
                <w:szCs w:val="26"/>
              </w:rPr>
              <w:t>2. Việc sử dụng con dấu có hình Quốc huy phải được quy định tại luật, pháp lệnh, nghị định hoặc quyết định của Thủ tướng Chính phủ quy định chức năng, nhiệm vụ, quyền hạn và cơ cấu tổ chức của cơ quan, tổ chức hoặc được quy định trong điều ước quốc tế mà Việt Nam là thành viên.</w:t>
            </w:r>
            <w:r>
              <w:rPr>
                <w:rFonts w:ascii="Times New Roman" w:eastAsia="Times New Roman" w:hAnsi="Times New Roman" w:cs="Times New Roman"/>
                <w:i/>
                <w:color w:val="000000"/>
                <w:sz w:val="26"/>
                <w:szCs w:val="26"/>
                <w:lang w:val="en-US"/>
              </w:rPr>
              <w:t xml:space="preserve">”. </w:t>
            </w:r>
          </w:p>
          <w:p w:rsidR="00A83EE3" w:rsidRDefault="00904E0F">
            <w:pPr>
              <w:spacing w:before="60" w:after="60" w:line="252" w:lineRule="auto"/>
              <w:rPr>
                <w:rFonts w:ascii="Times New Roman" w:hAnsi="Times New Roman" w:cs="Times New Roman"/>
                <w:bCs/>
                <w:spacing w:val="-2"/>
                <w:sz w:val="26"/>
                <w:szCs w:val="26"/>
                <w:lang w:val="en-US"/>
              </w:rPr>
            </w:pPr>
            <w:r>
              <w:rPr>
                <w:rFonts w:ascii="Times New Roman" w:hAnsi="Times New Roman" w:cs="Times New Roman"/>
                <w:sz w:val="26"/>
                <w:szCs w:val="26"/>
                <w:lang w:val="en-US"/>
              </w:rPr>
              <w:t xml:space="preserve">Thời gian qua, Hội đồng quản lý dùng chung con dấu hình Quốc huy của BHXH Việt Nam. Việc quy định Hội đồng quản lý sử dụng dấu hình Quốc huy trong dự thảo Nghị định kế thừa quy định đã có trong Nghị định số 89/2020/NĐ-CP, đồng thời căn cứ, xem xét trên cơ sở vị trí, tính chất pháp lý và chức năng, nhiệm vụ, quyền hạn mang tính chất đặc thù của Hội đồng quản lý </w:t>
            </w:r>
            <w:r>
              <w:rPr>
                <w:rFonts w:ascii="Times New Roman" w:hAnsi="Times New Roman" w:cs="Times New Roman"/>
                <w:i/>
                <w:iCs/>
                <w:sz w:val="26"/>
                <w:szCs w:val="26"/>
                <w:lang w:val="en-US"/>
              </w:rPr>
              <w:t>(chi tiết báo cáo tại dự thảo Tờ trình Chính phủ)</w:t>
            </w:r>
            <w:r>
              <w:rPr>
                <w:rFonts w:ascii="Times New Roman" w:hAnsi="Times New Roman" w:cs="Times New Roman"/>
                <w:sz w:val="26"/>
                <w:szCs w:val="26"/>
                <w:lang w:val="en-US"/>
              </w:rPr>
              <w:t xml:space="preserve"> và để đảm bảo quy định của Nghị định </w:t>
            </w:r>
            <w:r>
              <w:rPr>
                <w:rFonts w:ascii="Times New Roman" w:hAnsi="Times New Roman" w:cs="Times New Roman"/>
                <w:bCs/>
                <w:spacing w:val="-2"/>
                <w:sz w:val="26"/>
                <w:szCs w:val="26"/>
                <w:lang w:val="en-US"/>
              </w:rPr>
              <w:t xml:space="preserve">số 99/2016/NĐ-CP. </w:t>
            </w:r>
          </w:p>
          <w:p w:rsidR="00A83EE3" w:rsidRDefault="00904E0F">
            <w:pPr>
              <w:spacing w:before="60" w:after="60" w:line="252" w:lineRule="auto"/>
              <w:rPr>
                <w:rFonts w:ascii="Times New Roman" w:hAnsi="Times New Roman" w:cs="Times New Roman"/>
                <w:bCs/>
                <w:spacing w:val="-2"/>
                <w:sz w:val="26"/>
                <w:szCs w:val="26"/>
                <w:lang w:val="en-US"/>
              </w:rPr>
            </w:pPr>
            <w:r>
              <w:rPr>
                <w:rFonts w:ascii="Times New Roman" w:hAnsi="Times New Roman" w:cs="Times New Roman"/>
                <w:bCs/>
                <w:spacing w:val="-2"/>
                <w:sz w:val="26"/>
                <w:szCs w:val="26"/>
                <w:lang w:val="en-US"/>
              </w:rPr>
              <w:t xml:space="preserve">(2) Quy định về trụ sở: </w:t>
            </w:r>
          </w:p>
          <w:p w:rsidR="00A83EE3" w:rsidRDefault="00904E0F">
            <w:pPr>
              <w:spacing w:before="60" w:after="60" w:line="252" w:lineRule="auto"/>
              <w:rPr>
                <w:rFonts w:ascii="Times New Roman" w:hAnsi="Times New Roman" w:cs="Times New Roman"/>
                <w:bCs/>
                <w:spacing w:val="-2"/>
                <w:sz w:val="26"/>
                <w:szCs w:val="26"/>
                <w:lang w:val="en-US"/>
              </w:rPr>
            </w:pPr>
            <w:r>
              <w:rPr>
                <w:rFonts w:ascii="Times New Roman" w:hAnsi="Times New Roman" w:cs="Times New Roman"/>
                <w:bCs/>
                <w:spacing w:val="-2"/>
                <w:sz w:val="26"/>
                <w:szCs w:val="26"/>
                <w:lang w:val="en-US"/>
              </w:rPr>
              <w:t xml:space="preserve">Căn cứ quy định của Nghị định số 89/2020/NĐ-CP và thực tế thời gian qua, địa điểm làm việc của Hội đồng quản lý, trụ sở Văn phòng giúp việc Hội đồng quản lý do Bảo hiểm xã hội Việt Nam bố trí (cùng trụ sở làm việc của Bảo hiểm xã hội Việt Nam tại số 7 Tràng Thi, Hoàn Kiếm, Hà Nội). Kể từ tháng 01/2024, Bảo hiểm xã hội Việt Nam đã chuyển về địa điểm mới (tại số 6 Cương Kiên, </w:t>
            </w:r>
            <w:r>
              <w:rPr>
                <w:rFonts w:ascii="Times New Roman" w:hAnsi="Times New Roman" w:cs="Times New Roman"/>
                <w:bCs/>
                <w:spacing w:val="-2"/>
                <w:sz w:val="26"/>
                <w:szCs w:val="26"/>
                <w:lang w:val="en-US"/>
              </w:rPr>
              <w:lastRenderedPageBreak/>
              <w:t>Trung Văn, Nam Từ Liêm, Hà Nội). Địa điểm làm việc của Hội đồng quản lý, Chánh Văn phòng chuyên trách và Văn phòng giúp việc Hội đồng quản lý hiện đang được tiếp tục bố trí tại trụ sở cũ (số 7 Tràng Thi, Tràng Tiền, Hoàn Kiếm, Hà Nội). Để đảm bảo tính chất hoạt động độc lập của Hội đồng quản lý, đề nghị xem xét quy định trong dự thảo Nghị định nội dung Hội đồng quản lý có trụ sở riêng tại Thành phố Hà Nội.</w:t>
            </w:r>
          </w:p>
        </w:tc>
      </w:tr>
      <w:tr w:rsidR="00A83EE3">
        <w:trPr>
          <w:trHeight w:val="312"/>
        </w:trPr>
        <w:tc>
          <w:tcPr>
            <w:tcW w:w="1617" w:type="pct"/>
          </w:tcPr>
          <w:p w:rsidR="00A83EE3" w:rsidRDefault="00A83EE3">
            <w:pPr>
              <w:spacing w:before="60" w:after="60" w:line="252" w:lineRule="auto"/>
              <w:rPr>
                <w:rFonts w:ascii="Times New Roman" w:hAnsi="Times New Roman" w:cs="Times New Roman"/>
                <w:color w:val="000000" w:themeColor="text1"/>
                <w:sz w:val="26"/>
                <w:szCs w:val="26"/>
                <w:lang w:val="pt-BR"/>
              </w:rPr>
            </w:pPr>
          </w:p>
        </w:tc>
        <w:tc>
          <w:tcPr>
            <w:tcW w:w="1616" w:type="pct"/>
            <w:shd w:val="clear" w:color="auto" w:fill="auto"/>
            <w:vAlign w:val="center"/>
          </w:tcPr>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3. Hội đồng quản lý có tên giao dịch quốc tế bằng tiếng Anh là Social Security Management Council (viết tắt là SSMC).</w:t>
            </w:r>
          </w:p>
        </w:tc>
        <w:tc>
          <w:tcPr>
            <w:tcW w:w="1765" w:type="pct"/>
            <w:vAlign w:val="center"/>
          </w:tcPr>
          <w:p w:rsidR="00A83EE3" w:rsidRDefault="00904E0F">
            <w:pPr>
              <w:spacing w:before="60" w:after="60" w:line="252"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Nghị định 89/2020/NĐ-CP và các văn bản quy định hiện hành chưa có nội dung quy định về tên giao dịch quốc tế bằng tiếng Anh của Hội đồng quản lý. </w:t>
            </w:r>
          </w:p>
          <w:p w:rsidR="00A83EE3" w:rsidRDefault="00904E0F">
            <w:pPr>
              <w:spacing w:before="60" w:after="60" w:line="252"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Căn cứ vị trí, chức năng, nhiệm vụ và để thuận tiện trong bối cảnh ngày càng tăng cường hợp tác, hội nhập quốc tế của Việt Nam và các lĩnh vực về an sinh xã hội, BHXH, BNTN, BHYT nói riêng, đề nghị bổ sung nội dung tên giao dịch quốc tế bằng tiếng Anh của Hội đồng quản lý phù hợp với quy định hiện hành (trong đó Thông tư số 03/TT-BNG ngày 09/7/2009 hướng dẫn dịch Quốc hiệu, tên các cơ quan, đơn vị và chức danh lãnh đạo, cán bộ công chức trong hệ thống hành chính Nhà nước sang tiếng Anh để giao dịch đối ngoại). </w:t>
            </w:r>
          </w:p>
        </w:tc>
      </w:tr>
      <w:tr w:rsidR="00A83EE3">
        <w:trPr>
          <w:trHeight w:val="312"/>
        </w:trPr>
        <w:tc>
          <w:tcPr>
            <w:tcW w:w="1617" w:type="pct"/>
          </w:tcPr>
          <w:p w:rsidR="00A83EE3" w:rsidRDefault="00904E0F">
            <w:pPr>
              <w:spacing w:before="60" w:after="60" w:line="252" w:lineRule="auto"/>
              <w:rPr>
                <w:rFonts w:ascii="Times New Roman" w:hAnsi="Times New Roman" w:cs="Times New Roman"/>
                <w:b/>
                <w:i/>
                <w:sz w:val="26"/>
                <w:szCs w:val="26"/>
                <w:lang w:val="en-US"/>
              </w:rPr>
            </w:pPr>
            <w:bookmarkStart w:id="0" w:name="khoan_5_10"/>
            <w:r>
              <w:rPr>
                <w:rFonts w:ascii="Times New Roman" w:hAnsi="Times New Roman" w:cs="Times New Roman"/>
                <w:b/>
                <w:i/>
                <w:sz w:val="26"/>
                <w:szCs w:val="26"/>
                <w:lang w:val="en-US"/>
              </w:rPr>
              <w:t>1. Nghị định 89/2020/NĐ-CP ngày 08/4/2020 của Chính phủ</w:t>
            </w:r>
          </w:p>
          <w:p w:rsidR="00A83EE3" w:rsidRDefault="00904E0F">
            <w:pPr>
              <w:shd w:val="clear" w:color="auto" w:fill="FFFFFF"/>
              <w:spacing w:before="60" w:after="60" w:line="252" w:lineRule="auto"/>
              <w:rPr>
                <w:rFonts w:ascii="Times New Roman" w:eastAsia="Times New Roman" w:hAnsi="Times New Roman" w:cs="Times New Roman"/>
                <w:color w:val="000000"/>
                <w:sz w:val="26"/>
                <w:szCs w:val="26"/>
              </w:rPr>
            </w:pPr>
            <w:r>
              <w:rPr>
                <w:rFonts w:ascii="Times New Roman" w:hAnsi="Times New Roman" w:cs="Times New Roman"/>
                <w:color w:val="000000" w:themeColor="text1"/>
                <w:sz w:val="26"/>
                <w:szCs w:val="26"/>
                <w:lang w:val="pt-BR"/>
              </w:rPr>
              <w:t>(1) Chương III, Khoản 5 Điều 10. Hội đồng quản lý bảo hiểm xã hội</w:t>
            </w:r>
          </w:p>
          <w:p w:rsidR="00A83EE3" w:rsidRDefault="00A83EE3">
            <w:pPr>
              <w:shd w:val="clear" w:color="auto" w:fill="FFFFFF"/>
              <w:spacing w:before="60" w:after="60" w:line="252" w:lineRule="auto"/>
              <w:rPr>
                <w:rFonts w:ascii="Times New Roman" w:eastAsia="Times New Roman" w:hAnsi="Times New Roman" w:cs="Times New Roman"/>
                <w:color w:val="000000"/>
                <w:sz w:val="18"/>
                <w:szCs w:val="18"/>
                <w:lang w:val="fr-FR"/>
              </w:rPr>
            </w:pPr>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lang w:val="fr-FR"/>
              </w:rPr>
              <w:lastRenderedPageBreak/>
              <w:t>« 5. Nhiệm vụ và quyền hạn của Hội đồng quản lý:</w:t>
            </w:r>
            <w:bookmarkEnd w:id="0"/>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lang w:val="fr-FR"/>
              </w:rPr>
              <w:t>a) Chỉ đạo xây dựng và thông qua chiến lược phát triển ngành Bảo hiểm xã hội Việt Nam, kế hoạch dài hạn, năm năm, hằng năm về thực hiện các chế độ bảo hiểm xã hội, bảo hiểm thất nghiệp, bảo hiểm y tế, đề án bảo toàn và tăng trưởng các quỹ bảo hiểm xã hội, bảo hiểm thất nghiệp, bảo hiểm y tế trước khi trình Thủ tướng Chính phủ phê duyệt; giám sát, kiểm tra Tổng Giám đốc Bảo hiểm xã hội Việt Nam thực hiện chiến lược, kế hoạch, đề án sau khi được phê duyệt;</w:t>
            </w:r>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lang w:val="fr-FR"/>
              </w:rPr>
              <w:t>b) Giám sát, kiểm tra việc thực hiện kế hoạch thu, chi, quản lý và sử dụng các quỹ bảo hiểm xã hội, bảo hiểm thất nghiệp, bảo hiểm y tế. Kiến nghị với các cơ quan nhà nước có thẩm quyền sửa đổi, bổ sung chế độ, chính sách của Nhà nước về bảo hiểm xã hội, bảo hiểm thất nghiệp, bảo hiểm y tế để bảo đảm an toàn quỹ bảo hiểm xã hội, bảo hiểm thất nghiệp, bảo hiểm y tế;</w:t>
            </w:r>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lang w:val="fr-FR"/>
              </w:rPr>
              <w:t>c) Thông qua dự toán hằng năm về thu, chi các quỹ bảo hiểm xã hội, bảo hiểm thất nghiệp, bảo hiểm y tế; mức chi phí quản lý bảo hiểm xã hội, bảo hiểm thất nghiệp, bảo hiểm y tế trước khi Bảo hiểm xã hội Việt Nam trình cơ quan có thẩm quyền quyết định;</w:t>
            </w:r>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lang w:val="fr-FR"/>
              </w:rPr>
              <w:t xml:space="preserve">d) Thông qua các báo cáo hằng năm về việc thực hiện các chế độ bảo hiểm xã hội, bảo </w:t>
            </w:r>
            <w:r>
              <w:rPr>
                <w:rFonts w:ascii="Times New Roman" w:eastAsia="Times New Roman" w:hAnsi="Times New Roman" w:cs="Times New Roman"/>
                <w:i/>
                <w:color w:val="000000"/>
                <w:sz w:val="26"/>
                <w:szCs w:val="26"/>
                <w:lang w:val="fr-FR"/>
              </w:rPr>
              <w:lastRenderedPageBreak/>
              <w:t>hiểm thất nghiệp, bảo hiểm y tế; tình hình quản lý và sử dụng các quỹ bảo hiểm xã hội, bảo hiểm thất nghiệp, bảo hiểm y tế trước khi Bảo hiểm xã hội Việt Nam trình cơ quan có thẩm quyền;</w:t>
            </w:r>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lang w:val="fr-FR"/>
              </w:rPr>
              <w:t>đ) Quyết định và chịu trách nhiệm trước Chính phủ về các hình thức đầu tư và cơ cấu đầu tư của các quỹ bảo hiểm xã hội, bảo hiểm thất nghiệp, bảo hiểm y tế trên cơ sở đề nghị của Tổng Giám đốc;</w:t>
            </w:r>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lang w:val="fr-FR"/>
              </w:rPr>
              <w:t>e) Thành viên của Hội đồng quản lý là đại diện của bộ, ngành chịu trách nhiệm báo cáo về những nội dung liên quan với Bộ trưởng bộ, ngành đó;</w:t>
            </w:r>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lang w:val="fr-FR"/>
              </w:rPr>
              <w:t>g) Kiến nghị với cơ quan nhà nước có thẩm quyền xây dựng, sửa đổi, bổ sung chế độ, chính sách, pháp luật về bảo hiểm xã hội, bảo hiểm thất nghiệp, bảo hiểm y tế; chiến lược phát triển của ngành; kiện toàn hệ thống tổ chức của Bảo hiểm xã hội Việt Nam; cơ chế quản lý và sử dụng các quỹ bảo hiểm xã hội, bảo hiểm thất nghiệp, bảo hiểm y tế;</w:t>
            </w:r>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lang w:val="fr-FR"/>
              </w:rPr>
            </w:pPr>
            <w:r>
              <w:rPr>
                <w:rFonts w:ascii="Times New Roman" w:eastAsia="Times New Roman" w:hAnsi="Times New Roman" w:cs="Times New Roman"/>
                <w:i/>
                <w:color w:val="000000"/>
                <w:sz w:val="26"/>
                <w:szCs w:val="26"/>
                <w:lang w:val="fr-FR"/>
              </w:rPr>
              <w:t>h) Đề nghị Thủ tướng Chính phủ bổ nhiệm, miễn nhiệm, cách chức Tổng Giám đốc và các Phó Tổng Giám đốc Bảo hiểm xã hội Việt Nam. »</w:t>
            </w:r>
          </w:p>
          <w:p w:rsidR="00A83EE3" w:rsidRDefault="00A83EE3">
            <w:pPr>
              <w:shd w:val="clear" w:color="auto" w:fill="FFFFFF"/>
              <w:spacing w:before="60" w:after="60" w:line="252" w:lineRule="auto"/>
              <w:rPr>
                <w:rFonts w:ascii="Times New Roman" w:eastAsia="Times New Roman" w:hAnsi="Times New Roman" w:cs="Times New Roman"/>
                <w:color w:val="000000"/>
                <w:sz w:val="18"/>
                <w:szCs w:val="18"/>
                <w:lang w:val="fr-FR"/>
              </w:rPr>
            </w:pPr>
          </w:p>
          <w:p w:rsidR="00A83EE3" w:rsidRDefault="00904E0F">
            <w:pPr>
              <w:shd w:val="clear" w:color="auto" w:fill="FFFFFF"/>
              <w:spacing w:before="60" w:after="60" w:line="252" w:lineRule="auto"/>
              <w:rPr>
                <w:rFonts w:ascii="Times New Roman" w:eastAsia="Times New Roman" w:hAnsi="Times New Roman" w:cs="Times New Roman"/>
                <w:color w:val="000000"/>
                <w:sz w:val="26"/>
                <w:szCs w:val="26"/>
              </w:rPr>
            </w:pPr>
            <w:r>
              <w:rPr>
                <w:rFonts w:ascii="Times New Roman" w:hAnsi="Times New Roman" w:cs="Times New Roman"/>
                <w:color w:val="000000" w:themeColor="text1"/>
                <w:sz w:val="26"/>
                <w:szCs w:val="26"/>
                <w:lang w:val="pt-BR"/>
              </w:rPr>
              <w:t>(2) Chương III. Khoản 7 Điều 11. Chế độ làm việc của Hội đồng quản lý quy định:</w:t>
            </w:r>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lang w:val="fr-FR"/>
              </w:rPr>
            </w:pPr>
            <w:r>
              <w:rPr>
                <w:rFonts w:ascii="Times New Roman" w:eastAsia="Times New Roman" w:hAnsi="Times New Roman" w:cs="Times New Roman"/>
                <w:i/>
                <w:color w:val="000000"/>
                <w:sz w:val="26"/>
                <w:szCs w:val="26"/>
                <w:lang w:val="fr-FR"/>
              </w:rPr>
              <w:lastRenderedPageBreak/>
              <w:t>« 7. Hằng năm, Hội đồng quản lý báo cáo Thủ tướng Chính phủ về tình hình và kết quả hoạt động của Hội đồng quản lý. »</w:t>
            </w:r>
          </w:p>
          <w:p w:rsidR="00A83EE3" w:rsidRDefault="00A83EE3">
            <w:pPr>
              <w:shd w:val="clear" w:color="auto" w:fill="FFFFFF"/>
              <w:spacing w:before="60" w:after="60" w:line="252" w:lineRule="auto"/>
              <w:rPr>
                <w:rFonts w:ascii="Times New Roman" w:eastAsia="Times New Roman" w:hAnsi="Times New Roman" w:cs="Times New Roman"/>
                <w:color w:val="000000"/>
                <w:sz w:val="26"/>
                <w:szCs w:val="26"/>
              </w:rPr>
            </w:pPr>
          </w:p>
        </w:tc>
        <w:tc>
          <w:tcPr>
            <w:tcW w:w="1616" w:type="pct"/>
            <w:shd w:val="clear" w:color="auto" w:fill="auto"/>
            <w:vAlign w:val="center"/>
          </w:tcPr>
          <w:p w:rsidR="00A83EE3" w:rsidRDefault="00904E0F">
            <w:pPr>
              <w:spacing w:before="60" w:after="60" w:line="252" w:lineRule="auto"/>
              <w:rPr>
                <w:rFonts w:ascii="Times New Roman" w:hAnsi="Times New Roman" w:cs="Times New Roman"/>
                <w:b/>
                <w:bCs/>
                <w:sz w:val="26"/>
                <w:szCs w:val="26"/>
                <w:lang w:val="en-US"/>
              </w:rPr>
            </w:pPr>
            <w:r>
              <w:rPr>
                <w:rFonts w:ascii="Times New Roman" w:hAnsi="Times New Roman" w:cs="Times New Roman"/>
                <w:b/>
                <w:bCs/>
                <w:sz w:val="26"/>
                <w:szCs w:val="26"/>
                <w:lang w:val="en-US"/>
              </w:rPr>
              <w:lastRenderedPageBreak/>
              <w:t>Điều 2. Nhiệm vụ, quyền hạn và trách nhiệm</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Hội đồng quản lý có nhiệm vụ, quyền hạn và trách nhiệm sau đây:</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1. Thông qua các nội dung sau đây:</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lastRenderedPageBreak/>
              <w:t>a) Chiến lược phát triển ngành bảo hiểm xã hội, kế hoạch dài hạn, 05 năm về thực hiện chính sách, pháp luật bảo hiểm xã hội, bảo hiểm thất nghiệp, bảo hiểm y tế, chiến lược đầu tư dài hạn trước khi cơ quan bảo hiểm xã hội trình cấp có thẩm quyền phê duyệt;</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 xml:space="preserve">b) Kế hoạch hằng năm về thực hiện chính sách, pháp luật bảo hiểm xã hội, bảo hiểm thất nghiệp, bảo hiểm y tế; </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 xml:space="preserve">c) Các báo cáo hằng năm về việc thực hiện chính sách, pháp luật bảo hiểm xã hội, bảo hiểm thất nghiệp, bảo hiểm y tế; tình hình quản lý và sử dụng các quỹ bảo hiểm xã hội, quỹ bảo hiểm thất nghiệp, quỹ bảo hiểm y tế trước khi cơ quan bảo hiểm xã hội trình cấp có thẩm quyền. </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d) Dự toán hằng năm về thu, chi các quỹ bảo hiểm xã hội, quỹ bảo hiểm thất nghiệp, quỹ bảo hiểm y tế; mức chi tổ chức và hoạt động bảo hiểm xã hội, bảo hiểm thất nghiệp, bảo hiểm y tế; báo cáo quyết toán về chi tổ chức và hoạt động bảo hiểm xã hội trước khi cơ quan bảo hiểm xã hội trình cơ quan có thẩm quyền;</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đ) Đề án, phương án bảo toàn và tăng trưởng các quỹ bảo hiểm xã hội, quỹ bảo hiểm thất nghiệp, quỹ bảo hiểm y tế;</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e) Phương án đầu tư hằng năm.</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lastRenderedPageBreak/>
              <w:t>2. Quyết định và chịu trách nhiệm trước Chính phủ về danh mục đầu tư, cơ cấu đầu tư và phương thức đầu tư cụ thể của các quỹ bảo hiểm xã hội, quỹ bảo hiểm thất nghiệp, quỹ bảo hiểm y tế trên cơ sở đề nghị của cơ quan bảo hiểm xã hội.</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3. Giám sát, kiểm tra việc thực hiện của cơ quan bảo hiểm xã hội về các chiến lược, kế hoạch, đề án, phương án</w:t>
            </w:r>
            <w:r>
              <w:rPr>
                <w:rFonts w:ascii="Times New Roman" w:hAnsi="Times New Roman" w:cs="Times New Roman"/>
                <w:color w:val="000000" w:themeColor="text1"/>
                <w:sz w:val="26"/>
                <w:szCs w:val="26"/>
                <w:lang w:val="en-US"/>
              </w:rPr>
              <w:t xml:space="preserve"> đầu tư</w:t>
            </w:r>
            <w:r>
              <w:rPr>
                <w:rFonts w:ascii="Times New Roman" w:hAnsi="Times New Roman" w:cs="Times New Roman"/>
                <w:color w:val="000000" w:themeColor="text1"/>
                <w:sz w:val="26"/>
                <w:szCs w:val="26"/>
                <w:lang w:val="pt-BR"/>
              </w:rPr>
              <w:t xml:space="preserve"> sau khi được các cơ quan có thẩm quyền thông qua, phê duyệt.</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4. Kiến nghị cơ quan nhà nước có thẩm quyền xây dựng, sửa đổi, bổ sung chính sách, pháp luật về bảo hiểm xã hội, bảo hiểm thất nghiệp, bảo hiểm y tế, chiến lược phát triển bảo hiểm xã hội, kiện toàn hệ thống tổ chức cơ quan bảo hiểm xã hội, cơ chế quản lý và sử dụng quỹ bảo hiểm xã hội, quỹ bảo hiểm thất nghiệp, quỹ bảo hiểm y tế.</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5. Hằng năm, báo cáo Chính phủ, Thủ tướng Chính phủ về kết quả hoạt động, tình hình thực hiện các nhiệm vụ, quyền hạn theo quy định của Luật Bảo hiểm xã hội và Nghị định này.</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6. Cho ý kiến về nhân sự để cấp có thẩm quyền xem xét, quyết định bổ nhiệm, miễn nhiệm, cách chức Giám đốc và các Phó  Giám đốc Bảo hiểm xã hội Việt Nam theo quy định và phân cấp quản lý.</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lastRenderedPageBreak/>
              <w:t>7. Hợp tác, phối hợp với các cơ quan, Bộ, ngành và chính quyền các địa phương, các tổ chức có liên quan theo quy định của pháp luật để giám sát và chỉ đạo tổ chức thực hiện các chính sách pháp luật về bảo hiểm xã hội, bảo hiểm y tế, bảo hiểm thất nghiệp, nâng cao năng lực, hiệu quả tổ chức thực hiện bảo hiểm xã hội, bảo hiểm y tế, bảo hiểm thất nghiệp.</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 xml:space="preserve"> 8. Quản lý về tổ chức bộ máy, biên chế, </w:t>
            </w:r>
            <w:r>
              <w:rPr>
                <w:rFonts w:ascii="Times New Roman" w:hAnsi="Times New Roman" w:cs="Times New Roman"/>
                <w:sz w:val="26"/>
                <w:szCs w:val="26"/>
              </w:rPr>
              <w:t xml:space="preserve">quy định chức năng, nhiệm vụ, quyền hạn, xem xét cho ý kiến về bổ nhiệm, miễn nhiệm, cách chức người đứng đầu, cấp phó của người đứng dầu tổ chức của bộ máy giúp việc (Văn phòng Hội đồng quản lý); quản lý </w:t>
            </w:r>
            <w:r>
              <w:rPr>
                <w:rFonts w:ascii="Times New Roman" w:hAnsi="Times New Roman" w:cs="Times New Roman"/>
                <w:color w:val="000000" w:themeColor="text1"/>
                <w:sz w:val="26"/>
                <w:szCs w:val="26"/>
                <w:lang w:val="pt-BR"/>
              </w:rPr>
              <w:t>tài chính, tài sản được giao, kinh phí hoạt động được phân bổ theo quy định của pháp luật và chỉ đạo của Chính phủ, Thủ tướng Chính phủ.</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9. Thực hiện nhiệm vụ, quyền hạn khác do Chính phủ, Thủ tướng Chính phủ giao.</w:t>
            </w:r>
          </w:p>
        </w:tc>
        <w:tc>
          <w:tcPr>
            <w:tcW w:w="1765" w:type="pct"/>
            <w:vAlign w:val="center"/>
          </w:tcPr>
          <w:p w:rsidR="00A83EE3" w:rsidRDefault="00904E0F">
            <w:pPr>
              <w:numPr>
                <w:ilvl w:val="255"/>
                <w:numId w:val="0"/>
              </w:numPr>
              <w:shd w:val="clear" w:color="auto" w:fill="FFFFFF"/>
              <w:spacing w:before="60" w:after="60" w:line="252" w:lineRule="auto"/>
              <w:rPr>
                <w:rFonts w:ascii="Times New Roman" w:hAnsi="Times New Roman" w:cs="Times New Roman"/>
                <w:sz w:val="26"/>
                <w:szCs w:val="26"/>
                <w:lang w:val="en-US"/>
              </w:rPr>
            </w:pPr>
            <w:r>
              <w:rPr>
                <w:rFonts w:ascii="Times New Roman" w:hAnsi="Times New Roman" w:cs="Times New Roman"/>
                <w:sz w:val="26"/>
                <w:szCs w:val="26"/>
              </w:rPr>
              <w:lastRenderedPageBreak/>
              <w:t>Điều 20 của Luật B</w:t>
            </w:r>
            <w:r>
              <w:rPr>
                <w:rFonts w:ascii="Times New Roman" w:hAnsi="Times New Roman" w:cs="Times New Roman"/>
                <w:sz w:val="26"/>
                <w:szCs w:val="26"/>
                <w:lang w:val="en-US"/>
              </w:rPr>
              <w:t xml:space="preserve">HXH </w:t>
            </w:r>
            <w:r>
              <w:rPr>
                <w:rFonts w:ascii="Times New Roman" w:hAnsi="Times New Roman" w:cs="Times New Roman"/>
                <w:sz w:val="26"/>
                <w:szCs w:val="26"/>
              </w:rPr>
              <w:t>số 41/2024/QH15</w:t>
            </w:r>
            <w:r>
              <w:rPr>
                <w:rFonts w:ascii="Times New Roman" w:hAnsi="Times New Roman" w:cs="Times New Roman"/>
                <w:sz w:val="26"/>
                <w:szCs w:val="26"/>
                <w:lang w:val="en-US"/>
              </w:rPr>
              <w:t xml:space="preserve"> quy định về nhiệm vụ, quyền hạn và trách nhiệm của Hội đồng quản lý BHXH. Các nội dung này về cơ bản kế thừa quy định của Luật Bảo hiểm xã hội năm 2014 (và được nhắc lại tại Khoản 5 Nghị </w:t>
            </w:r>
            <w:r>
              <w:rPr>
                <w:rFonts w:ascii="Times New Roman" w:hAnsi="Times New Roman" w:cs="Times New Roman"/>
                <w:sz w:val="26"/>
                <w:szCs w:val="26"/>
                <w:lang w:val="en-US"/>
              </w:rPr>
              <w:lastRenderedPageBreak/>
              <w:t xml:space="preserve">định 89/2020/NĐ-CP), đồng thời có làm rõ hơn nhóm các nhiệm vụ </w:t>
            </w:r>
            <w:r>
              <w:rPr>
                <w:rFonts w:ascii="Times New Roman" w:hAnsi="Times New Roman" w:cs="Times New Roman"/>
                <w:sz w:val="26"/>
                <w:szCs w:val="26"/>
              </w:rPr>
              <w:t>Hội đồng quản lý</w:t>
            </w:r>
            <w:r>
              <w:rPr>
                <w:rFonts w:ascii="Times New Roman" w:hAnsi="Times New Roman" w:cs="Times New Roman"/>
                <w:sz w:val="26"/>
                <w:szCs w:val="26"/>
                <w:lang w:val="en-US"/>
              </w:rPr>
              <w:t xml:space="preserve"> chịu trách nhiệm </w:t>
            </w:r>
            <w:r>
              <w:rPr>
                <w:rFonts w:ascii="Times New Roman" w:hAnsi="Times New Roman" w:cs="Times New Roman"/>
                <w:i/>
                <w:sz w:val="26"/>
                <w:szCs w:val="26"/>
              </w:rPr>
              <w:t xml:space="preserve">thông qua trước khi cơ quan bảo hiểm xã hội trình cấp có thẩm quyền; </w:t>
            </w:r>
            <w:r>
              <w:rPr>
                <w:rFonts w:ascii="Times New Roman" w:hAnsi="Times New Roman" w:cs="Times New Roman"/>
                <w:sz w:val="26"/>
                <w:szCs w:val="26"/>
              </w:rPr>
              <w:t>các nội dung</w:t>
            </w:r>
            <w:r>
              <w:rPr>
                <w:rFonts w:ascii="Times New Roman" w:hAnsi="Times New Roman" w:cs="Times New Roman"/>
                <w:sz w:val="26"/>
                <w:szCs w:val="26"/>
                <w:lang w:val="en-US"/>
              </w:rPr>
              <w:t>, nhiệm vụ</w:t>
            </w:r>
            <w:r>
              <w:rPr>
                <w:rFonts w:ascii="Times New Roman" w:hAnsi="Times New Roman" w:cs="Times New Roman"/>
                <w:sz w:val="26"/>
                <w:szCs w:val="26"/>
              </w:rPr>
              <w:t xml:space="preserve"> </w:t>
            </w:r>
            <w:r>
              <w:rPr>
                <w:rFonts w:ascii="Times New Roman" w:hAnsi="Times New Roman" w:cs="Times New Roman"/>
                <w:sz w:val="26"/>
                <w:szCs w:val="26"/>
                <w:lang w:val="en-US"/>
              </w:rPr>
              <w:t xml:space="preserve">mà </w:t>
            </w:r>
            <w:r>
              <w:rPr>
                <w:rFonts w:ascii="Times New Roman" w:hAnsi="Times New Roman" w:cs="Times New Roman"/>
                <w:sz w:val="26"/>
                <w:szCs w:val="26"/>
              </w:rPr>
              <w:t>Hội đồng</w:t>
            </w:r>
            <w:r>
              <w:rPr>
                <w:rFonts w:ascii="Times New Roman" w:hAnsi="Times New Roman" w:cs="Times New Roman"/>
                <w:sz w:val="26"/>
                <w:szCs w:val="26"/>
                <w:lang w:val="en-US"/>
              </w:rPr>
              <w:t xml:space="preserve"> quản lý </w:t>
            </w:r>
            <w:r>
              <w:rPr>
                <w:rFonts w:ascii="Times New Roman" w:hAnsi="Times New Roman" w:cs="Times New Roman"/>
                <w:i/>
                <w:sz w:val="26"/>
                <w:szCs w:val="26"/>
              </w:rPr>
              <w:t xml:space="preserve">thông qua để cơ quan </w:t>
            </w:r>
            <w:r>
              <w:rPr>
                <w:rFonts w:ascii="Times New Roman" w:hAnsi="Times New Roman" w:cs="Times New Roman"/>
                <w:i/>
                <w:sz w:val="26"/>
                <w:szCs w:val="26"/>
                <w:lang w:val="en-US"/>
              </w:rPr>
              <w:t xml:space="preserve">BHXH </w:t>
            </w:r>
            <w:r>
              <w:rPr>
                <w:rFonts w:ascii="Times New Roman" w:hAnsi="Times New Roman" w:cs="Times New Roman"/>
                <w:i/>
                <w:sz w:val="26"/>
                <w:szCs w:val="26"/>
              </w:rPr>
              <w:t>thực hiện</w:t>
            </w:r>
            <w:r>
              <w:rPr>
                <w:rFonts w:ascii="Times New Roman" w:hAnsi="Times New Roman" w:cs="Times New Roman"/>
                <w:sz w:val="26"/>
                <w:szCs w:val="26"/>
              </w:rPr>
              <w:t xml:space="preserve"> và nhóm các </w:t>
            </w:r>
            <w:r>
              <w:rPr>
                <w:rFonts w:ascii="Times New Roman" w:hAnsi="Times New Roman" w:cs="Times New Roman"/>
                <w:sz w:val="26"/>
                <w:szCs w:val="26"/>
                <w:lang w:val="en-US"/>
              </w:rPr>
              <w:t xml:space="preserve">nội dung, </w:t>
            </w:r>
            <w:r>
              <w:rPr>
                <w:rFonts w:ascii="Times New Roman" w:hAnsi="Times New Roman" w:cs="Times New Roman"/>
                <w:sz w:val="26"/>
                <w:szCs w:val="26"/>
              </w:rPr>
              <w:t xml:space="preserve">nhiệm vụ </w:t>
            </w:r>
            <w:r>
              <w:rPr>
                <w:rFonts w:ascii="Times New Roman" w:hAnsi="Times New Roman" w:cs="Times New Roman"/>
                <w:sz w:val="26"/>
                <w:szCs w:val="26"/>
                <w:lang w:val="en-US"/>
              </w:rPr>
              <w:t xml:space="preserve">mà </w:t>
            </w:r>
            <w:r>
              <w:rPr>
                <w:rFonts w:ascii="Times New Roman" w:hAnsi="Times New Roman" w:cs="Times New Roman"/>
                <w:sz w:val="26"/>
                <w:szCs w:val="26"/>
              </w:rPr>
              <w:t xml:space="preserve">Hội đồng </w:t>
            </w:r>
            <w:r>
              <w:rPr>
                <w:rFonts w:ascii="Times New Roman" w:hAnsi="Times New Roman" w:cs="Times New Roman"/>
                <w:sz w:val="26"/>
                <w:szCs w:val="26"/>
                <w:lang w:val="en-US"/>
              </w:rPr>
              <w:t xml:space="preserve">quản lý sẽ trực tiếp </w:t>
            </w:r>
            <w:r>
              <w:rPr>
                <w:rFonts w:ascii="Times New Roman" w:hAnsi="Times New Roman" w:cs="Times New Roman"/>
                <w:i/>
                <w:sz w:val="26"/>
                <w:szCs w:val="26"/>
              </w:rPr>
              <w:t>quyết định và chịu trách nhiệm trước Chính phủ</w:t>
            </w:r>
            <w:r>
              <w:rPr>
                <w:rFonts w:ascii="Times New Roman" w:hAnsi="Times New Roman" w:cs="Times New Roman"/>
                <w:sz w:val="26"/>
                <w:szCs w:val="26"/>
              </w:rPr>
              <w:t xml:space="preserve">. </w:t>
            </w:r>
          </w:p>
          <w:p w:rsidR="00A83EE3" w:rsidRDefault="00904E0F">
            <w:pPr>
              <w:numPr>
                <w:ilvl w:val="255"/>
                <w:numId w:val="0"/>
              </w:numPr>
              <w:shd w:val="clear" w:color="auto" w:fill="FFFFFF"/>
              <w:spacing w:before="60" w:after="60" w:line="252" w:lineRule="auto"/>
              <w:rPr>
                <w:rFonts w:ascii="Times New Roman" w:hAnsi="Times New Roman" w:cs="Times New Roman"/>
                <w:sz w:val="26"/>
                <w:szCs w:val="26"/>
                <w:lang w:val="en-US"/>
              </w:rPr>
            </w:pPr>
            <w:r>
              <w:rPr>
                <w:rFonts w:ascii="Times New Roman" w:hAnsi="Times New Roman" w:cs="Times New Roman"/>
                <w:sz w:val="26"/>
                <w:szCs w:val="26"/>
                <w:lang w:val="en-US"/>
              </w:rPr>
              <w:t>Do vậy, d</w:t>
            </w:r>
            <w:r>
              <w:rPr>
                <w:rFonts w:ascii="Times New Roman" w:hAnsi="Times New Roman" w:cs="Times New Roman"/>
                <w:color w:val="000000" w:themeColor="text1"/>
                <w:sz w:val="26"/>
                <w:szCs w:val="26"/>
                <w:lang w:val="en-US"/>
              </w:rPr>
              <w:t>ự thảo Nghị định</w:t>
            </w:r>
            <w:r>
              <w:rPr>
                <w:rFonts w:ascii="Times New Roman" w:hAnsi="Times New Roman" w:cs="Times New Roman"/>
                <w:color w:val="000000" w:themeColor="text1"/>
                <w:sz w:val="26"/>
                <w:szCs w:val="26"/>
              </w:rPr>
              <w:t xml:space="preserve"> quy định, dẫn chiếu đầy đủ các nội dung </w:t>
            </w:r>
            <w:r>
              <w:rPr>
                <w:rFonts w:ascii="Times New Roman" w:hAnsi="Times New Roman" w:cs="Times New Roman"/>
                <w:color w:val="000000" w:themeColor="text1"/>
                <w:sz w:val="26"/>
                <w:szCs w:val="26"/>
                <w:lang w:val="en-US"/>
              </w:rPr>
              <w:t xml:space="preserve">quy định về nhiệm vụ, quyền hạn và trách nhiệm của Hội đồng quản lý đã nêu tại các khoản từ 1 đến 6 của </w:t>
            </w:r>
            <w:r>
              <w:rPr>
                <w:rFonts w:ascii="Times New Roman" w:hAnsi="Times New Roman" w:cs="Times New Roman"/>
                <w:color w:val="000000" w:themeColor="text1"/>
                <w:sz w:val="26"/>
                <w:szCs w:val="26"/>
              </w:rPr>
              <w:t xml:space="preserve">Điều 20 </w:t>
            </w:r>
            <w:r>
              <w:rPr>
                <w:rFonts w:ascii="Times New Roman" w:hAnsi="Times New Roman" w:cs="Times New Roman"/>
                <w:color w:val="000000" w:themeColor="text1"/>
                <w:sz w:val="26"/>
                <w:szCs w:val="26"/>
                <w:lang w:val="en-US"/>
              </w:rPr>
              <w:t>L</w:t>
            </w:r>
            <w:r>
              <w:rPr>
                <w:rFonts w:ascii="Times New Roman" w:hAnsi="Times New Roman" w:cs="Times New Roman"/>
                <w:color w:val="000000" w:themeColor="text1"/>
                <w:sz w:val="26"/>
                <w:szCs w:val="26"/>
              </w:rPr>
              <w:t>uật BHXH số 41/2024/QH15</w:t>
            </w:r>
            <w:r>
              <w:rPr>
                <w:rFonts w:ascii="Times New Roman" w:hAnsi="Times New Roman" w:cs="Times New Roman"/>
                <w:color w:val="000000" w:themeColor="text1"/>
                <w:sz w:val="26"/>
                <w:szCs w:val="26"/>
                <w:lang w:val="en-US"/>
              </w:rPr>
              <w:t xml:space="preserve"> theo các nhóm các vấn đề để dễ theo dõi và thực hiện, </w:t>
            </w:r>
            <w:r>
              <w:rPr>
                <w:rFonts w:ascii="Times New Roman" w:hAnsi="Times New Roman" w:cs="Times New Roman"/>
                <w:color w:val="000000" w:themeColor="text1"/>
                <w:sz w:val="26"/>
                <w:szCs w:val="26"/>
              </w:rPr>
              <w:t>đồng thời</w:t>
            </w:r>
            <w:r>
              <w:rPr>
                <w:rFonts w:ascii="Times New Roman" w:hAnsi="Times New Roman" w:cs="Times New Roman"/>
                <w:color w:val="000000" w:themeColor="text1"/>
                <w:sz w:val="26"/>
                <w:szCs w:val="26"/>
                <w:lang w:val="en-US"/>
              </w:rPr>
              <w:t xml:space="preserve"> cụ thể hóa t</w:t>
            </w:r>
            <w:r>
              <w:rPr>
                <w:rFonts w:ascii="Times New Roman" w:hAnsi="Times New Roman" w:cs="Times New Roman"/>
                <w:color w:val="000000" w:themeColor="text1"/>
                <w:sz w:val="26"/>
                <w:szCs w:val="26"/>
              </w:rPr>
              <w:t>hêm một số nội dung quyền hạn, nhiệm vụ</w:t>
            </w:r>
            <w:r>
              <w:rPr>
                <w:rFonts w:ascii="Times New Roman" w:hAnsi="Times New Roman" w:cs="Times New Roman"/>
                <w:color w:val="000000" w:themeColor="text1"/>
                <w:sz w:val="26"/>
                <w:szCs w:val="26"/>
                <w:lang w:val="en-US"/>
              </w:rPr>
              <w:t>, trách nhiệm khác c</w:t>
            </w:r>
            <w:r>
              <w:rPr>
                <w:rFonts w:ascii="Times New Roman" w:hAnsi="Times New Roman" w:cs="Times New Roman"/>
                <w:color w:val="000000" w:themeColor="text1"/>
                <w:sz w:val="26"/>
                <w:szCs w:val="26"/>
              </w:rPr>
              <w:t xml:space="preserve">ủa Hội đồng </w:t>
            </w:r>
            <w:r>
              <w:rPr>
                <w:rFonts w:ascii="Times New Roman" w:hAnsi="Times New Roman" w:cs="Times New Roman"/>
                <w:color w:val="000000" w:themeColor="text1"/>
                <w:sz w:val="26"/>
                <w:szCs w:val="26"/>
                <w:lang w:val="en-US"/>
              </w:rPr>
              <w:t xml:space="preserve">quản lý căn cứ theo thẩm quyền quy định đã được nêu tại Khoản 7 Điều 20 của Luật BHXH số 41/2024/QH15 trên cơ sở </w:t>
            </w:r>
            <w:r>
              <w:rPr>
                <w:rFonts w:ascii="Times New Roman" w:hAnsi="Times New Roman" w:cs="Times New Roman"/>
                <w:color w:val="000000" w:themeColor="text1"/>
                <w:sz w:val="26"/>
                <w:szCs w:val="26"/>
              </w:rPr>
              <w:t>phù hợp vị trí, chức năng, nhiệm vụ được giao</w:t>
            </w:r>
            <w:r>
              <w:rPr>
                <w:rFonts w:ascii="Times New Roman" w:hAnsi="Times New Roman" w:cs="Times New Roman"/>
                <w:color w:val="000000" w:themeColor="text1"/>
                <w:sz w:val="26"/>
                <w:szCs w:val="26"/>
                <w:lang w:val="en-US"/>
              </w:rPr>
              <w:t xml:space="preserve"> (chi tiết tại khoản 7, khoản 8 Điều 2 dự thảo) và khoản 9 Điều 2 quy định Hội đồng quản lý được thực hiện nhiệm vụ, quyền hạn khác do Chính phủ, Thủ tướng Chính phủ giao để đảm bảo t</w:t>
            </w:r>
            <w:r>
              <w:rPr>
                <w:rFonts w:ascii="Times New Roman" w:hAnsi="Times New Roman" w:cs="Times New Roman"/>
                <w:sz w:val="26"/>
                <w:szCs w:val="26"/>
              </w:rPr>
              <w:t xml:space="preserve">rong quá trình thực hiện, </w:t>
            </w:r>
            <w:r>
              <w:rPr>
                <w:rFonts w:ascii="Times New Roman" w:hAnsi="Times New Roman" w:cs="Times New Roman"/>
                <w:sz w:val="26"/>
                <w:szCs w:val="26"/>
                <w:lang w:val="en-US"/>
              </w:rPr>
              <w:t xml:space="preserve">nếu có </w:t>
            </w:r>
            <w:r>
              <w:rPr>
                <w:rFonts w:ascii="Times New Roman" w:hAnsi="Times New Roman" w:cs="Times New Roman"/>
                <w:sz w:val="26"/>
                <w:szCs w:val="26"/>
              </w:rPr>
              <w:t xml:space="preserve">những nhiệm vụ, quyền hạn khác mà Chính phủ, Thủ tướng Chính phủ </w:t>
            </w:r>
            <w:r>
              <w:rPr>
                <w:rFonts w:ascii="Times New Roman" w:hAnsi="Times New Roman" w:cs="Times New Roman"/>
                <w:sz w:val="26"/>
                <w:szCs w:val="26"/>
                <w:lang w:val="en-US"/>
              </w:rPr>
              <w:t xml:space="preserve">thấy </w:t>
            </w:r>
            <w:r>
              <w:rPr>
                <w:rFonts w:ascii="Times New Roman" w:hAnsi="Times New Roman" w:cs="Times New Roman"/>
                <w:sz w:val="26"/>
                <w:szCs w:val="26"/>
              </w:rPr>
              <w:t>cần thiết phải giao bổ sung</w:t>
            </w:r>
            <w:r>
              <w:rPr>
                <w:rFonts w:ascii="Times New Roman" w:hAnsi="Times New Roman" w:cs="Times New Roman"/>
                <w:sz w:val="26"/>
                <w:szCs w:val="26"/>
                <w:lang w:val="en-US"/>
              </w:rPr>
              <w:t xml:space="preserve"> cho Hội đồng quản lý thì có căn cứ để </w:t>
            </w:r>
            <w:r>
              <w:rPr>
                <w:rFonts w:ascii="Times New Roman" w:hAnsi="Times New Roman" w:cs="Times New Roman"/>
                <w:sz w:val="26"/>
                <w:szCs w:val="26"/>
              </w:rPr>
              <w:t xml:space="preserve">giao </w:t>
            </w:r>
            <w:r>
              <w:rPr>
                <w:rFonts w:ascii="Times New Roman" w:hAnsi="Times New Roman" w:cs="Times New Roman"/>
                <w:sz w:val="26"/>
                <w:szCs w:val="26"/>
                <w:lang w:val="en-US"/>
              </w:rPr>
              <w:t>(</w:t>
            </w:r>
            <w:r>
              <w:rPr>
                <w:rFonts w:ascii="Times New Roman" w:hAnsi="Times New Roman" w:cs="Times New Roman"/>
                <w:sz w:val="26"/>
                <w:szCs w:val="26"/>
              </w:rPr>
              <w:t>phù hợp với tình hình và bối cảnh cụ thể</w:t>
            </w:r>
            <w:r>
              <w:rPr>
                <w:rFonts w:ascii="Times New Roman" w:hAnsi="Times New Roman" w:cs="Times New Roman"/>
                <w:sz w:val="26"/>
                <w:szCs w:val="26"/>
                <w:lang w:val="en-US"/>
              </w:rPr>
              <w:t>)</w:t>
            </w:r>
            <w:r>
              <w:rPr>
                <w:rFonts w:ascii="Times New Roman" w:hAnsi="Times New Roman" w:cs="Times New Roman"/>
                <w:sz w:val="26"/>
                <w:szCs w:val="26"/>
              </w:rPr>
              <w:t xml:space="preserve"> mà không cần phải sửa đổi Nghị định. </w:t>
            </w:r>
          </w:p>
        </w:tc>
      </w:tr>
      <w:tr w:rsidR="00A83EE3">
        <w:trPr>
          <w:trHeight w:val="312"/>
        </w:trPr>
        <w:tc>
          <w:tcPr>
            <w:tcW w:w="1617" w:type="pct"/>
          </w:tcPr>
          <w:p w:rsidR="00A83EE3" w:rsidRDefault="00A83EE3">
            <w:pPr>
              <w:spacing w:before="60" w:after="60" w:line="252" w:lineRule="auto"/>
              <w:rPr>
                <w:rFonts w:ascii="Times New Roman" w:hAnsi="Times New Roman" w:cs="Times New Roman"/>
                <w:b/>
                <w:color w:val="000000" w:themeColor="text1"/>
                <w:sz w:val="26"/>
                <w:szCs w:val="26"/>
                <w:lang w:val="pt-BR"/>
              </w:rPr>
            </w:pPr>
          </w:p>
        </w:tc>
        <w:tc>
          <w:tcPr>
            <w:tcW w:w="1616" w:type="pct"/>
            <w:shd w:val="clear" w:color="auto" w:fill="auto"/>
            <w:vAlign w:val="center"/>
          </w:tcPr>
          <w:p w:rsidR="00A83EE3" w:rsidRDefault="00904E0F">
            <w:pPr>
              <w:spacing w:before="60" w:after="60" w:line="252" w:lineRule="auto"/>
              <w:rPr>
                <w:rFonts w:ascii="Times New Roman" w:hAnsi="Times New Roman" w:cs="Times New Roman"/>
                <w:b/>
                <w:color w:val="000000" w:themeColor="text1"/>
                <w:sz w:val="26"/>
                <w:szCs w:val="26"/>
                <w:lang w:val="pt-BR"/>
              </w:rPr>
            </w:pPr>
            <w:r>
              <w:rPr>
                <w:rFonts w:ascii="Times New Roman" w:hAnsi="Times New Roman" w:cs="Times New Roman"/>
                <w:b/>
                <w:color w:val="000000" w:themeColor="text1"/>
                <w:sz w:val="26"/>
                <w:szCs w:val="26"/>
                <w:lang w:val="pt-BR"/>
              </w:rPr>
              <w:t xml:space="preserve">Điều 3. Trình tự, thủ tục thành lập và cơ cấu thành phần Hội đồng quản lý </w:t>
            </w:r>
          </w:p>
        </w:tc>
        <w:tc>
          <w:tcPr>
            <w:tcW w:w="1765" w:type="pct"/>
            <w:vAlign w:val="center"/>
          </w:tcPr>
          <w:p w:rsidR="00A83EE3" w:rsidRDefault="00A83EE3">
            <w:pPr>
              <w:shd w:val="clear" w:color="auto" w:fill="FFFFFF"/>
              <w:spacing w:before="60" w:after="60" w:line="252" w:lineRule="auto"/>
              <w:rPr>
                <w:rFonts w:ascii="Times New Roman" w:hAnsi="Times New Roman" w:cs="Times New Roman"/>
                <w:b/>
                <w:color w:val="000000" w:themeColor="text1"/>
                <w:sz w:val="28"/>
                <w:szCs w:val="28"/>
                <w:lang w:val="pt-BR"/>
              </w:rPr>
            </w:pPr>
          </w:p>
        </w:tc>
      </w:tr>
      <w:tr w:rsidR="00A83EE3">
        <w:trPr>
          <w:trHeight w:val="2118"/>
        </w:trPr>
        <w:tc>
          <w:tcPr>
            <w:tcW w:w="1617" w:type="pct"/>
          </w:tcPr>
          <w:p w:rsidR="00A83EE3" w:rsidRDefault="00904E0F">
            <w:pPr>
              <w:spacing w:before="60" w:after="60" w:line="252" w:lineRule="auto"/>
              <w:rPr>
                <w:rFonts w:ascii="Times New Roman" w:hAnsi="Times New Roman" w:cs="Times New Roman"/>
                <w:b/>
                <w:i/>
                <w:sz w:val="26"/>
                <w:szCs w:val="26"/>
                <w:lang w:val="en-US"/>
              </w:rPr>
            </w:pPr>
            <w:r>
              <w:rPr>
                <w:rFonts w:ascii="Times New Roman" w:hAnsi="Times New Roman" w:cs="Times New Roman"/>
                <w:b/>
                <w:i/>
                <w:sz w:val="26"/>
                <w:szCs w:val="26"/>
                <w:lang w:val="en-US"/>
              </w:rPr>
              <w:t>1. Nghị định 89/2020/NĐ-CP ngày 08/4/2020 của Chính phủ</w:t>
            </w:r>
          </w:p>
          <w:p w:rsidR="00A83EE3" w:rsidRDefault="00904E0F">
            <w:pPr>
              <w:shd w:val="clear" w:color="auto" w:fill="FFFFFF"/>
              <w:spacing w:before="60" w:after="60" w:line="252" w:lineRule="auto"/>
              <w:rPr>
                <w:rFonts w:ascii="Times New Roman" w:eastAsia="Times New Roman" w:hAnsi="Times New Roman" w:cs="Times New Roman"/>
                <w:color w:val="000000"/>
                <w:sz w:val="26"/>
                <w:szCs w:val="26"/>
              </w:rPr>
            </w:pPr>
            <w:r>
              <w:rPr>
                <w:rFonts w:ascii="Times New Roman" w:hAnsi="Times New Roman" w:cs="Times New Roman"/>
                <w:color w:val="000000" w:themeColor="text1"/>
                <w:sz w:val="26"/>
                <w:szCs w:val="26"/>
                <w:lang w:val="pt-BR"/>
              </w:rPr>
              <w:t xml:space="preserve">Chương III, Khoản 2 và Khoản 3 Điều 10. Hội đồng quản lý bảo hiểm xã hội quy định: </w:t>
            </w:r>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lang w:val="fr-FR"/>
              </w:rPr>
            </w:pPr>
            <w:r>
              <w:rPr>
                <w:rFonts w:ascii="Times New Roman" w:eastAsia="Times New Roman" w:hAnsi="Times New Roman" w:cs="Times New Roman"/>
                <w:i/>
                <w:color w:val="000000"/>
                <w:sz w:val="26"/>
                <w:szCs w:val="26"/>
                <w:lang w:val="fr-FR"/>
              </w:rPr>
              <w:t xml:space="preserve">« 2. Hội đồng quản lý gồm đại diện lãnh đạo Bộ Lao động - Thương binh và Xã hội, Bộ Y </w:t>
            </w:r>
            <w:r>
              <w:rPr>
                <w:rFonts w:ascii="Times New Roman" w:eastAsia="Times New Roman" w:hAnsi="Times New Roman" w:cs="Times New Roman"/>
                <w:i/>
                <w:color w:val="000000"/>
                <w:sz w:val="26"/>
                <w:szCs w:val="26"/>
                <w:lang w:val="fr-FR"/>
              </w:rPr>
              <w:lastRenderedPageBreak/>
              <w:t xml:space="preserve">tế, Bộ Tài chính, Bộ Nội vụ, Tổng Liên đoàn Lao động Việt Nam, Phòng Thương mại và Công nghiệp Việt Nam, Liên minh hợp tác xã Việt Nam, Hội Nông dân Việt Nam, Tổng Giám đốc Bảo hiểm xã hội Việt Nam và thành viên khác </w:t>
            </w:r>
            <w:r>
              <w:rPr>
                <w:rFonts w:ascii="Times New Roman" w:eastAsia="Times New Roman" w:hAnsi="Times New Roman" w:cs="Times New Roman"/>
                <w:b/>
                <w:bCs/>
                <w:i/>
                <w:color w:val="000000"/>
                <w:sz w:val="26"/>
                <w:szCs w:val="26"/>
                <w:lang w:val="fr-FR"/>
              </w:rPr>
              <w:t>do Chính phủ quy định. </w:t>
            </w:r>
            <w:r>
              <w:rPr>
                <w:rFonts w:ascii="Times New Roman" w:eastAsia="Times New Roman" w:hAnsi="Times New Roman" w:cs="Times New Roman"/>
                <w:i/>
                <w:color w:val="000000"/>
                <w:sz w:val="26"/>
                <w:szCs w:val="26"/>
                <w:lang w:val="fr-FR"/>
              </w:rPr>
              <w:t>»</w:t>
            </w:r>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lang w:val="fr-FR"/>
              </w:rPr>
              <w:t>3. Hội đồng quản lý có Chủ tịch, các Phó Chủ tịch và các Ủy viên do Thủ tướng Chính phủ bổ nhiệm, miễn nhiệm, cách chức theo đề nghị của Bộ trưởng Bộ Nội vụ; nhiệm kỳ của thành viên Hội đồng quản lý là 05 năm. »</w:t>
            </w:r>
          </w:p>
          <w:p w:rsidR="00A83EE3" w:rsidRDefault="00A83EE3">
            <w:pPr>
              <w:shd w:val="clear" w:color="auto" w:fill="FFFFFF"/>
              <w:spacing w:before="60" w:after="60" w:line="252" w:lineRule="auto"/>
              <w:rPr>
                <w:rFonts w:ascii="Times New Roman" w:eastAsia="Times New Roman" w:hAnsi="Times New Roman" w:cs="Times New Roman"/>
                <w:i/>
                <w:color w:val="000000"/>
                <w:sz w:val="26"/>
                <w:szCs w:val="26"/>
              </w:rPr>
            </w:pPr>
          </w:p>
          <w:p w:rsidR="00A83EE3" w:rsidRDefault="00A83EE3">
            <w:pPr>
              <w:spacing w:before="60" w:after="60" w:line="252" w:lineRule="auto"/>
              <w:rPr>
                <w:rFonts w:ascii="Times New Roman" w:hAnsi="Times New Roman" w:cs="Times New Roman"/>
                <w:color w:val="000000" w:themeColor="text1"/>
                <w:sz w:val="26"/>
                <w:szCs w:val="26"/>
                <w:lang w:val="pt-BR"/>
              </w:rPr>
            </w:pPr>
          </w:p>
        </w:tc>
        <w:tc>
          <w:tcPr>
            <w:tcW w:w="1616" w:type="pct"/>
            <w:shd w:val="clear" w:color="auto" w:fill="auto"/>
            <w:vAlign w:val="center"/>
          </w:tcPr>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lastRenderedPageBreak/>
              <w:t>1. Chính phủ thành lập Hội đồng quản lý gồm Chủ tịch là Bộ trưởng Bộ Tài chính; 01 Phó Chủ tịch chuyên trách và các ủy viên.</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 xml:space="preserve">2. Các ủy viên Hội đồng quản lý gồm: </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2.1. Thứ trưởng Bộ Nội vụ;</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lastRenderedPageBreak/>
              <w:t>2.2. Thứ trưởng</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lang w:val="pt-BR"/>
              </w:rPr>
              <w:t>Bộ Y tế;</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2.3. Thứ trưởng</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lang w:val="pt-BR"/>
              </w:rPr>
              <w:t>Bộ Quốc phòng;</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2.4. Thứ trưởng</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lang w:val="pt-BR"/>
              </w:rPr>
              <w:t>Bộ Công an;</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2.5. Phó Thống đốc</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lang w:val="pt-BR"/>
              </w:rPr>
              <w:t>Ngân hàng Nhà nước Việt Nam;</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2.6. Phó Chủ tịch Tổng Liên đoàn Lao động Việt Nam;</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 xml:space="preserve">2.7. Phó Chủ tịch Hội nông dân Việt Nam; </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2.8. Phó Chủ tịch</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lang w:val="pt-BR"/>
              </w:rPr>
              <w:t xml:space="preserve">Liên đoàn Thương mại và Công nghiệp Việt Nam; </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2.9. Phó Chủ tịch Liên minh hợp tác xã Việt Nam;</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2.10. Giám đốc Bảo hiểm xã hội Việt Nam;</w:t>
            </w:r>
          </w:p>
          <w:p w:rsidR="00A83EE3" w:rsidRDefault="00A83EE3">
            <w:pPr>
              <w:spacing w:before="60" w:after="60" w:line="252" w:lineRule="auto"/>
              <w:rPr>
                <w:rFonts w:ascii="Times New Roman" w:hAnsi="Times New Roman" w:cs="Times New Roman"/>
                <w:b/>
                <w:bCs/>
                <w:sz w:val="26"/>
                <w:szCs w:val="26"/>
                <w:lang w:val="en-US"/>
              </w:rPr>
            </w:pPr>
          </w:p>
        </w:tc>
        <w:tc>
          <w:tcPr>
            <w:tcW w:w="1765" w:type="pct"/>
            <w:vAlign w:val="center"/>
          </w:tcPr>
          <w:p w:rsidR="00A83EE3" w:rsidRDefault="00904E0F">
            <w:pPr>
              <w:pStyle w:val="NormalWeb"/>
              <w:numPr>
                <w:ilvl w:val="0"/>
                <w:numId w:val="1"/>
              </w:numPr>
              <w:shd w:val="clear" w:color="auto" w:fill="FFFFFF"/>
              <w:spacing w:before="60" w:after="60" w:line="252" w:lineRule="auto"/>
              <w:rPr>
                <w:sz w:val="26"/>
                <w:szCs w:val="26"/>
                <w:lang w:val="en-US"/>
              </w:rPr>
            </w:pPr>
            <w:r>
              <w:rPr>
                <w:sz w:val="26"/>
                <w:szCs w:val="26"/>
                <w:lang w:val="en-US"/>
              </w:rPr>
              <w:lastRenderedPageBreak/>
              <w:t xml:space="preserve">Căn cứ pháp lý để xây dựng các khoản 1, khoản 2 dự thảo Nghị định: </w:t>
            </w:r>
          </w:p>
          <w:p w:rsidR="00A83EE3" w:rsidRDefault="00904E0F">
            <w:pPr>
              <w:pStyle w:val="NormalWeb"/>
              <w:shd w:val="clear" w:color="auto" w:fill="FFFFFF"/>
              <w:spacing w:before="60" w:after="60" w:line="252" w:lineRule="auto"/>
              <w:rPr>
                <w:color w:val="000000" w:themeColor="text1"/>
                <w:sz w:val="26"/>
                <w:szCs w:val="26"/>
                <w:lang w:val="en-US"/>
              </w:rPr>
            </w:pPr>
            <w:r>
              <w:rPr>
                <w:sz w:val="26"/>
                <w:szCs w:val="26"/>
                <w:lang w:val="en-US"/>
              </w:rPr>
              <w:t xml:space="preserve">Kế thừa các quy định đã có của Nghị định số 89/2020/NĐ-CP về cơ cấu, thành phần và các vị trí chức danh trong Hội đồng quản lý và căn cứ quy định tại </w:t>
            </w:r>
            <w:r>
              <w:rPr>
                <w:color w:val="000000" w:themeColor="text1"/>
                <w:sz w:val="26"/>
                <w:szCs w:val="26"/>
                <w:lang w:val="en-US"/>
              </w:rPr>
              <w:t xml:space="preserve"> quy định khoản 2, khoản 3 và khoản </w:t>
            </w:r>
            <w:r>
              <w:rPr>
                <w:color w:val="000000" w:themeColor="text1"/>
                <w:sz w:val="26"/>
                <w:szCs w:val="26"/>
                <w:lang w:val="en-US"/>
              </w:rPr>
              <w:lastRenderedPageBreak/>
              <w:t xml:space="preserve">4 Điều 19 của Luật BHXH số 41/2024/QH15. Cụ thể: </w:t>
            </w:r>
          </w:p>
          <w:p w:rsidR="00A83EE3" w:rsidRDefault="00904E0F">
            <w:pPr>
              <w:pStyle w:val="NormalWeb"/>
              <w:shd w:val="clear" w:color="auto" w:fill="FFFFFF"/>
              <w:spacing w:before="60" w:after="60" w:line="252" w:lineRule="auto"/>
              <w:rPr>
                <w:rFonts w:eastAsia="Times New Roman"/>
                <w:i/>
                <w:color w:val="000000"/>
                <w:sz w:val="26"/>
                <w:szCs w:val="26"/>
                <w:lang w:val="en-US"/>
              </w:rPr>
            </w:pPr>
            <w:r>
              <w:rPr>
                <w:i/>
                <w:color w:val="000000" w:themeColor="text1"/>
                <w:sz w:val="26"/>
                <w:szCs w:val="26"/>
                <w:lang w:val="en-US"/>
              </w:rPr>
              <w:t xml:space="preserve">“ </w:t>
            </w:r>
            <w:r>
              <w:rPr>
                <w:rFonts w:eastAsia="Times New Roman"/>
                <w:i/>
                <w:color w:val="000000"/>
                <w:sz w:val="26"/>
                <w:szCs w:val="26"/>
                <w:lang w:val="en-US"/>
              </w:rPr>
              <w:t>2. Hội đồng quản lý bảo hiểm xã hội gồm đại diện Tổng Liên đoàn Lao động Việt Nam, tổ chức đại diện người sử dụng lao động ở trung ương, Bộ Tài chính, Bộ Lao động - Thương binh và Xã hội, Bộ Y tế, Bộ Nội vụ, Bảo hiểm xã hội Việt Nam, Bộ Công an, Bộ Quốc phòng, Ngân hàng nhà nước Việt Nam và tổ chức, cá nhân khác có liên quan.</w:t>
            </w:r>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lang w:val="en-US"/>
              </w:rPr>
            </w:pPr>
            <w:r>
              <w:rPr>
                <w:rFonts w:ascii="Times New Roman" w:eastAsia="Times New Roman" w:hAnsi="Times New Roman" w:cs="Times New Roman"/>
                <w:i/>
                <w:color w:val="000000"/>
                <w:sz w:val="26"/>
                <w:szCs w:val="26"/>
                <w:lang w:val="en-US"/>
              </w:rPr>
              <w:t>3. Hội đồng quản lý bảo hiểm xã hội có Chủ tịch, các Phó Chủ tịch và các ủy viên do Thủ tướng Chính phủ bổ nhiệm, miễn nhiệm, cách chức; nhiệm kỳ của thành viên Hội đồng quản lý bảo hiểm xã hội là 05 năm.”</w:t>
            </w:r>
          </w:p>
          <w:p w:rsidR="00A83EE3" w:rsidRDefault="00904E0F">
            <w:pPr>
              <w:shd w:val="clear" w:color="auto" w:fill="FFFFFF"/>
              <w:spacing w:before="60" w:after="60" w:line="252" w:lineRule="auto"/>
              <w:rPr>
                <w:rFonts w:ascii="Times New Roman" w:hAnsi="Times New Roman" w:cs="Times New Roman"/>
                <w:bCs/>
                <w:sz w:val="26"/>
                <w:szCs w:val="26"/>
                <w:lang w:val="en-US"/>
              </w:rPr>
            </w:pPr>
            <w:r>
              <w:rPr>
                <w:rFonts w:ascii="Times New Roman" w:hAnsi="Times New Roman" w:cs="Times New Roman"/>
                <w:sz w:val="26"/>
                <w:szCs w:val="26"/>
                <w:lang w:val="en-US"/>
              </w:rPr>
              <w:t xml:space="preserve">Về quy định </w:t>
            </w:r>
            <w:r>
              <w:rPr>
                <w:rFonts w:ascii="Times New Roman" w:hAnsi="Times New Roman" w:cs="Times New Roman"/>
                <w:sz w:val="26"/>
                <w:szCs w:val="26"/>
              </w:rPr>
              <w:t>trình tự, thủ tục thành lập Hội đồng quản lý BHXH</w:t>
            </w:r>
            <w:r>
              <w:rPr>
                <w:rFonts w:ascii="Times New Roman" w:hAnsi="Times New Roman" w:cs="Times New Roman"/>
                <w:sz w:val="26"/>
                <w:szCs w:val="26"/>
                <w:lang w:val="en-US"/>
              </w:rPr>
              <w:t xml:space="preserve">: tại khoản 1 Điều 2 dự thảo Nghị định quy định </w:t>
            </w:r>
            <w:r>
              <w:rPr>
                <w:rFonts w:ascii="Times New Roman" w:hAnsi="Times New Roman" w:cs="Times New Roman"/>
                <w:i/>
                <w:iCs/>
                <w:sz w:val="26"/>
                <w:szCs w:val="26"/>
                <w:lang w:val="en-US"/>
              </w:rPr>
              <w:t>“Chính phủ thành lập Hội đồng quản lý”</w:t>
            </w:r>
            <w:r>
              <w:rPr>
                <w:rFonts w:ascii="Times New Roman" w:hAnsi="Times New Roman" w:cs="Times New Roman"/>
                <w:sz w:val="26"/>
                <w:szCs w:val="26"/>
                <w:lang w:val="en-US"/>
              </w:rPr>
              <w:t>. Lý do:</w:t>
            </w:r>
            <w:r>
              <w:rPr>
                <w:rFonts w:ascii="Times New Roman" w:hAnsi="Times New Roman" w:cs="Times New Roman"/>
                <w:sz w:val="26"/>
                <w:szCs w:val="26"/>
              </w:rPr>
              <w:t xml:space="preserve"> Hội đồng quản lý BHXH là thiết chế đã được thành lập và hoạt động kể từ năm 1995 khi Chính phủ ban</w:t>
            </w:r>
            <w:r>
              <w:rPr>
                <w:rFonts w:ascii="Times New Roman" w:hAnsi="Times New Roman" w:cs="Times New Roman"/>
                <w:sz w:val="26"/>
                <w:szCs w:val="26"/>
                <w:lang w:val="en-US"/>
              </w:rPr>
              <w:t xml:space="preserve"> hành</w:t>
            </w:r>
            <w:r>
              <w:rPr>
                <w:rFonts w:ascii="Times New Roman" w:hAnsi="Times New Roman" w:cs="Times New Roman"/>
                <w:sz w:val="26"/>
                <w:szCs w:val="26"/>
              </w:rPr>
              <w:t xml:space="preserve"> </w:t>
            </w:r>
            <w:r>
              <w:rPr>
                <w:rFonts w:ascii="Times New Roman" w:hAnsi="Times New Roman" w:cs="Times New Roman"/>
                <w:bCs/>
                <w:sz w:val="26"/>
                <w:szCs w:val="26"/>
              </w:rPr>
              <w:t xml:space="preserve">Nghị định số 19-CP </w:t>
            </w:r>
            <w:r>
              <w:rPr>
                <w:rFonts w:ascii="Times New Roman" w:hAnsi="Times New Roman" w:cs="Times New Roman"/>
                <w:bCs/>
                <w:sz w:val="26"/>
                <w:szCs w:val="26"/>
                <w:lang w:val="en-US"/>
              </w:rPr>
              <w:t>n</w:t>
            </w:r>
            <w:r>
              <w:rPr>
                <w:rFonts w:ascii="Times New Roman" w:hAnsi="Times New Roman" w:cs="Times New Roman"/>
                <w:bCs/>
                <w:sz w:val="26"/>
                <w:szCs w:val="26"/>
              </w:rPr>
              <w:t xml:space="preserve">gày 16/02/1995 về việc thành lập Bảo hiểm xã hội Việt Nam trên cơ sở thống nhất các tổ chức BHXH ở Trung ương và địa phương thuộc hệ thống Lao động - Thương binh và Xã hội và Tổng Liên đoàn lao động Việt Nam để giúp Thủ tướng Chính phủ chỉ đạo công tác quản lý quỹ BHXH và thực hiện các chế độ, chính sách BHXH theo pháp luật của Nhà nước (Điều 1), Điều 5 Nghị định 19-CP quy định: </w:t>
            </w:r>
            <w:r>
              <w:rPr>
                <w:rFonts w:ascii="Times New Roman" w:eastAsia="Times New Roman" w:hAnsi="Times New Roman" w:cs="Times New Roman"/>
                <w:color w:val="000000"/>
                <w:sz w:val="26"/>
                <w:szCs w:val="26"/>
              </w:rPr>
              <w:t>“</w:t>
            </w:r>
            <w:r>
              <w:rPr>
                <w:rFonts w:ascii="Times New Roman" w:eastAsia="Times New Roman" w:hAnsi="Times New Roman" w:cs="Times New Roman"/>
                <w:i/>
                <w:color w:val="000000"/>
                <w:sz w:val="26"/>
                <w:szCs w:val="26"/>
              </w:rPr>
              <w:t xml:space="preserve">Thành lập Hội đồng quản </w:t>
            </w:r>
            <w:r>
              <w:rPr>
                <w:rFonts w:ascii="Times New Roman" w:eastAsia="Times New Roman" w:hAnsi="Times New Roman" w:cs="Times New Roman"/>
                <w:i/>
                <w:color w:val="000000"/>
                <w:sz w:val="26"/>
                <w:szCs w:val="26"/>
              </w:rPr>
              <w:lastRenderedPageBreak/>
              <w:t>lý Bảo hiểm xã hội Việt Nam là cơ quan quản lý cao nhất của Bảo hiểm xã hội Việt Nam</w:t>
            </w:r>
            <w:r>
              <w:rPr>
                <w:rFonts w:ascii="Times New Roman" w:eastAsia="Times New Roman" w:hAnsi="Times New Roman" w:cs="Times New Roman"/>
                <w:i/>
                <w:color w:val="000000"/>
                <w:sz w:val="26"/>
                <w:szCs w:val="26"/>
                <w:lang w:val="en-US"/>
              </w:rPr>
              <w:t xml:space="preserve">”. </w:t>
            </w:r>
            <w:r>
              <w:rPr>
                <w:rFonts w:ascii="Times New Roman" w:hAnsi="Times New Roman" w:cs="Times New Roman"/>
                <w:bCs/>
                <w:sz w:val="26"/>
                <w:szCs w:val="26"/>
              </w:rPr>
              <w:t>Cùng với quá trình hoàn thiện hệ thống chính sách BHXH, BHTN, BHYT và sự phát triển của ngành B</w:t>
            </w:r>
            <w:r>
              <w:rPr>
                <w:rFonts w:ascii="Times New Roman" w:hAnsi="Times New Roman" w:cs="Times New Roman"/>
                <w:bCs/>
                <w:sz w:val="26"/>
                <w:szCs w:val="26"/>
                <w:lang w:val="en-US"/>
              </w:rPr>
              <w:t xml:space="preserve">HXH </w:t>
            </w:r>
            <w:r>
              <w:rPr>
                <w:rFonts w:ascii="Times New Roman" w:hAnsi="Times New Roman" w:cs="Times New Roman"/>
                <w:bCs/>
                <w:sz w:val="26"/>
                <w:szCs w:val="26"/>
              </w:rPr>
              <w:t>Việt Nam; vai trò, vị trí, nhiệm vụ, quyền hạn của Hội đồng quản lý được sửa đổi, bổ sung tại các Nghị định của Chính phủ</w:t>
            </w:r>
            <w:r>
              <w:rPr>
                <w:rFonts w:ascii="Times New Roman" w:hAnsi="Times New Roman" w:cs="Times New Roman"/>
                <w:bCs/>
                <w:sz w:val="26"/>
                <w:szCs w:val="26"/>
                <w:vertAlign w:val="superscript"/>
              </w:rPr>
              <w:footnoteReference w:id="1"/>
            </w:r>
            <w:r>
              <w:rPr>
                <w:rFonts w:ascii="Times New Roman" w:hAnsi="Times New Roman" w:cs="Times New Roman"/>
                <w:bCs/>
                <w:sz w:val="26"/>
                <w:szCs w:val="26"/>
              </w:rPr>
              <w:t xml:space="preserve"> và Luật BHXH</w:t>
            </w:r>
            <w:r>
              <w:rPr>
                <w:rFonts w:ascii="Times New Roman" w:hAnsi="Times New Roman" w:cs="Times New Roman"/>
                <w:bCs/>
                <w:sz w:val="26"/>
                <w:szCs w:val="26"/>
                <w:vertAlign w:val="superscript"/>
              </w:rPr>
              <w:footnoteReference w:id="2"/>
            </w:r>
            <w:r>
              <w:rPr>
                <w:rFonts w:ascii="Times New Roman" w:hAnsi="Times New Roman" w:cs="Times New Roman"/>
                <w:bCs/>
                <w:sz w:val="26"/>
                <w:szCs w:val="26"/>
              </w:rPr>
              <w:t xml:space="preserve"> và </w:t>
            </w:r>
            <w:r>
              <w:rPr>
                <w:rFonts w:ascii="Times New Roman" w:hAnsi="Times New Roman" w:cs="Times New Roman"/>
                <w:bCs/>
                <w:sz w:val="26"/>
                <w:szCs w:val="26"/>
                <w:lang w:val="en-US"/>
              </w:rPr>
              <w:t xml:space="preserve">Hội đồng quản lý BHXH tiếp tục được duy trì hoạt đông đến thời điểm hiện nay. </w:t>
            </w:r>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lang w:val="en-US"/>
              </w:rPr>
            </w:pPr>
            <w:r>
              <w:rPr>
                <w:rFonts w:ascii="Times New Roman" w:hAnsi="Times New Roman" w:cs="Times New Roman"/>
                <w:bCs/>
                <w:sz w:val="26"/>
                <w:szCs w:val="26"/>
                <w:lang w:val="en-US"/>
              </w:rPr>
              <w:t xml:space="preserve">Do vậy, dự thảo Nghị định tại Khoản 1 Điều 3 không quy định chi tiết về trình tự, thủ tục thành lập Hội đồng quản lý mà chỉ quy định trực tiếp </w:t>
            </w:r>
            <w:r>
              <w:rPr>
                <w:rFonts w:ascii="Times New Roman" w:hAnsi="Times New Roman" w:cs="Times New Roman"/>
                <w:bCs/>
                <w:i/>
                <w:sz w:val="26"/>
                <w:szCs w:val="26"/>
                <w:lang w:val="en-US"/>
              </w:rPr>
              <w:t>“Chính phủ thành lập Hội đồng quản lý”</w:t>
            </w:r>
            <w:r>
              <w:rPr>
                <w:rFonts w:ascii="Times New Roman" w:hAnsi="Times New Roman" w:cs="Times New Roman"/>
                <w:bCs/>
                <w:sz w:val="26"/>
                <w:szCs w:val="26"/>
                <w:lang w:val="en-US"/>
              </w:rPr>
              <w:t xml:space="preserve"> để tái khẳng định thẩm quyền của Chính phủ đối với việc thành lập Hội đồng quản lý như đã thực hiện trong thời gian qua. Quá trình xây dựng, trình ban hành Nghị định </w:t>
            </w:r>
            <w:r w:rsidR="00514CEA">
              <w:rPr>
                <w:rFonts w:ascii="Times New Roman" w:hAnsi="Times New Roman" w:cs="Times New Roman"/>
                <w:bCs/>
                <w:sz w:val="26"/>
                <w:szCs w:val="26"/>
                <w:lang w:val="en-US"/>
              </w:rPr>
              <w:t>q</w:t>
            </w:r>
            <w:r>
              <w:rPr>
                <w:rFonts w:ascii="Times New Roman" w:hAnsi="Times New Roman" w:cs="Times New Roman"/>
                <w:bCs/>
                <w:sz w:val="26"/>
                <w:szCs w:val="26"/>
                <w:lang w:val="en-US"/>
              </w:rPr>
              <w:t>uy định về Hội đồng quản lý đảm bảo quy trình trình tự, thủ tục cho ý kiến, tham vấn, phản biện và thẩm định, ban hành của cơ quan, cấp có thẩm quyền đối với việc thành lập Hội đồng quản lý tuân thủ theo quy định của pháp luật ban hành VPQPPL.</w:t>
            </w:r>
          </w:p>
          <w:p w:rsidR="00A83EE3" w:rsidRDefault="00904E0F">
            <w:pPr>
              <w:numPr>
                <w:ilvl w:val="255"/>
                <w:numId w:val="0"/>
              </w:numPr>
              <w:shd w:val="clear" w:color="auto" w:fill="FFFFFF"/>
              <w:spacing w:before="60" w:after="60" w:line="252" w:lineRule="auto"/>
              <w:ind w:left="10"/>
              <w:rPr>
                <w:rFonts w:ascii="Times New Roman" w:hAnsi="Times New Roman" w:cs="Times New Roman"/>
                <w:sz w:val="26"/>
                <w:szCs w:val="26"/>
                <w:lang w:val="en-US"/>
              </w:rPr>
            </w:pPr>
            <w:r>
              <w:rPr>
                <w:rFonts w:ascii="Times New Roman" w:hAnsi="Times New Roman" w:cs="Times New Roman"/>
                <w:sz w:val="26"/>
                <w:szCs w:val="26"/>
                <w:lang w:val="en-US"/>
              </w:rPr>
              <w:t xml:space="preserve">(2) Các nội dung kế thừa: </w:t>
            </w:r>
          </w:p>
          <w:p w:rsidR="00A83EE3" w:rsidRDefault="00904E0F">
            <w:pPr>
              <w:numPr>
                <w:ilvl w:val="255"/>
                <w:numId w:val="0"/>
              </w:numPr>
              <w:shd w:val="clear" w:color="auto" w:fill="FFFFFF"/>
              <w:spacing w:before="60" w:after="60" w:line="252" w:lineRule="auto"/>
              <w:ind w:left="10"/>
              <w:rPr>
                <w:rFonts w:ascii="Times New Roman" w:hAnsi="Times New Roman" w:cs="Times New Roman"/>
                <w:color w:val="000000" w:themeColor="text1"/>
                <w:sz w:val="26"/>
                <w:szCs w:val="26"/>
                <w:lang w:val="en-US"/>
              </w:rPr>
            </w:pPr>
            <w:r>
              <w:rPr>
                <w:rFonts w:ascii="Times New Roman" w:hAnsi="Times New Roman" w:cs="Times New Roman"/>
                <w:sz w:val="26"/>
                <w:szCs w:val="26"/>
                <w:lang w:val="en-US"/>
              </w:rPr>
              <w:t xml:space="preserve">Về cơ cấu và các chức danh trong Hội đồng quản lý về cơ bản kế thừa các quy định đã có trong Nghị định 89/2020/NĐ-CP, được rà soát, quy </w:t>
            </w:r>
            <w:r>
              <w:rPr>
                <w:rFonts w:ascii="Times New Roman" w:hAnsi="Times New Roman" w:cs="Times New Roman"/>
                <w:sz w:val="26"/>
                <w:szCs w:val="26"/>
                <w:lang w:val="en-US"/>
              </w:rPr>
              <w:lastRenderedPageBreak/>
              <w:t xml:space="preserve">định cụ thể lại Luật Bảo hiểm xã hội số 41/2024/QH15. Theo đó: </w:t>
            </w:r>
          </w:p>
          <w:p w:rsidR="00A83EE3" w:rsidRDefault="00904E0F">
            <w:pPr>
              <w:shd w:val="clear" w:color="auto" w:fill="FFFFFF"/>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 xml:space="preserve">Chính phủ thành lập Hội đồng quản lý gồm Chủ tịch; 01 Phó Chủ tịch chuyên trách và các ủy viên. </w:t>
            </w:r>
          </w:p>
          <w:p w:rsidR="00A83EE3" w:rsidRDefault="00904E0F">
            <w:pPr>
              <w:shd w:val="clear" w:color="auto" w:fill="FFFFFF"/>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Các ủy viên Hội đồng quản lý gồm: Đại diện Lãnh</w:t>
            </w:r>
            <w:r>
              <w:rPr>
                <w:rFonts w:ascii="Times New Roman" w:hAnsi="Times New Roman" w:cs="Times New Roman"/>
                <w:color w:val="000000" w:themeColor="text1"/>
                <w:sz w:val="26"/>
                <w:szCs w:val="26"/>
              </w:rPr>
              <w:t xml:space="preserve"> đạo </w:t>
            </w:r>
            <w:r>
              <w:rPr>
                <w:rFonts w:ascii="Times New Roman" w:hAnsi="Times New Roman" w:cs="Times New Roman"/>
                <w:color w:val="000000" w:themeColor="text1"/>
                <w:sz w:val="26"/>
                <w:szCs w:val="26"/>
                <w:lang w:val="en-US"/>
              </w:rPr>
              <w:t xml:space="preserve">cấp phó thủ trưởng của các cơ quan, bộ, ngành sau: </w:t>
            </w:r>
            <w:r>
              <w:rPr>
                <w:rFonts w:ascii="Times New Roman" w:hAnsi="Times New Roman" w:cs="Times New Roman"/>
                <w:color w:val="000000" w:themeColor="text1"/>
                <w:sz w:val="26"/>
                <w:szCs w:val="26"/>
                <w:lang w:val="pt-BR"/>
              </w:rPr>
              <w:t>Tổng Liên đoàn Lao động Việt Nam</w:t>
            </w:r>
            <w:r>
              <w:rPr>
                <w:rFonts w:ascii="Times New Roman" w:hAnsi="Times New Roman" w:cs="Times New Roman"/>
                <w:color w:val="000000" w:themeColor="text1"/>
                <w:sz w:val="26"/>
                <w:szCs w:val="26"/>
                <w:lang w:val="en-US"/>
              </w:rPr>
              <w:t xml:space="preserve">, </w:t>
            </w:r>
            <w:r>
              <w:rPr>
                <w:rFonts w:ascii="Times New Roman" w:hAnsi="Times New Roman" w:cs="Times New Roman"/>
                <w:color w:val="000000" w:themeColor="text1"/>
                <w:sz w:val="26"/>
                <w:szCs w:val="26"/>
                <w:lang w:val="pt-BR"/>
              </w:rPr>
              <w:t>Bộ Nội vụ, Bộ Y tế,</w:t>
            </w:r>
            <w:r>
              <w:rPr>
                <w:rFonts w:ascii="Times New Roman" w:hAnsi="Times New Roman" w:cs="Times New Roman"/>
                <w:color w:val="000000" w:themeColor="text1"/>
                <w:sz w:val="26"/>
                <w:szCs w:val="26"/>
                <w:lang w:val="en-US"/>
              </w:rPr>
              <w:t xml:space="preserve"> </w:t>
            </w:r>
            <w:r>
              <w:rPr>
                <w:rFonts w:ascii="Times New Roman" w:hAnsi="Times New Roman" w:cs="Times New Roman"/>
                <w:color w:val="000000" w:themeColor="text1"/>
                <w:sz w:val="26"/>
                <w:szCs w:val="26"/>
                <w:lang w:val="pt-BR"/>
              </w:rPr>
              <w:t>Bộ Quốc phòng,</w:t>
            </w:r>
            <w:r>
              <w:rPr>
                <w:rFonts w:ascii="Times New Roman" w:hAnsi="Times New Roman" w:cs="Times New Roman"/>
                <w:color w:val="000000" w:themeColor="text1"/>
                <w:sz w:val="26"/>
                <w:szCs w:val="26"/>
                <w:lang w:val="en-US"/>
              </w:rPr>
              <w:t xml:space="preserve"> </w:t>
            </w:r>
            <w:r>
              <w:rPr>
                <w:rFonts w:ascii="Times New Roman" w:hAnsi="Times New Roman" w:cs="Times New Roman"/>
                <w:color w:val="000000" w:themeColor="text1"/>
                <w:sz w:val="26"/>
                <w:szCs w:val="26"/>
                <w:lang w:val="pt-BR"/>
              </w:rPr>
              <w:t>Bộ Công an,</w:t>
            </w:r>
            <w:r>
              <w:rPr>
                <w:rFonts w:ascii="Times New Roman" w:hAnsi="Times New Roman" w:cs="Times New Roman"/>
                <w:color w:val="000000" w:themeColor="text1"/>
                <w:sz w:val="26"/>
                <w:szCs w:val="26"/>
                <w:lang w:val="en-US"/>
              </w:rPr>
              <w:t xml:space="preserve"> </w:t>
            </w:r>
            <w:r>
              <w:rPr>
                <w:rFonts w:ascii="Times New Roman" w:hAnsi="Times New Roman" w:cs="Times New Roman"/>
                <w:color w:val="000000" w:themeColor="text1"/>
                <w:sz w:val="26"/>
                <w:szCs w:val="26"/>
                <w:lang w:val="pt-BR"/>
              </w:rPr>
              <w:t>Ngân hàng Nhà nước Việt Nam,</w:t>
            </w:r>
            <w:r>
              <w:rPr>
                <w:rFonts w:ascii="Times New Roman" w:hAnsi="Times New Roman" w:cs="Times New Roman"/>
                <w:color w:val="000000" w:themeColor="text1"/>
                <w:sz w:val="26"/>
                <w:szCs w:val="26"/>
                <w:lang w:val="en-US"/>
              </w:rPr>
              <w:t xml:space="preserve"> Hội nông dân Việt Nam, </w:t>
            </w:r>
            <w:r>
              <w:rPr>
                <w:rFonts w:ascii="Times New Roman" w:hAnsi="Times New Roman" w:cs="Times New Roman"/>
                <w:color w:val="000000" w:themeColor="text1"/>
                <w:sz w:val="26"/>
                <w:szCs w:val="26"/>
                <w:lang w:val="pt-BR"/>
              </w:rPr>
              <w:t xml:space="preserve">Liên minh Hợp tác xã Việt Nam, Liên đoàn Thương mại và Công nghiệp Việt Nam, và Giám đốc Bảo hiểm xã hội Việt Nam. </w:t>
            </w:r>
          </w:p>
          <w:p w:rsidR="00A83EE3" w:rsidRDefault="00904E0F">
            <w:pPr>
              <w:numPr>
                <w:ilvl w:val="255"/>
                <w:numId w:val="0"/>
              </w:numPr>
              <w:shd w:val="clear" w:color="auto" w:fill="FFFFFF"/>
              <w:spacing w:before="60" w:after="60" w:line="252" w:lineRule="auto"/>
              <w:ind w:left="10"/>
              <w:rPr>
                <w:rFonts w:ascii="Times New Roman" w:hAnsi="Times New Roman" w:cs="Times New Roman"/>
                <w:sz w:val="26"/>
                <w:szCs w:val="26"/>
                <w:lang w:val="en-US"/>
              </w:rPr>
            </w:pPr>
            <w:r>
              <w:rPr>
                <w:rFonts w:ascii="Times New Roman" w:hAnsi="Times New Roman" w:cs="Times New Roman"/>
                <w:sz w:val="26"/>
                <w:szCs w:val="26"/>
                <w:lang w:val="en-US"/>
              </w:rPr>
              <w:t xml:space="preserve">(3) Các nội dung quy định bổ sung, thay đổi: </w:t>
            </w:r>
          </w:p>
          <w:p w:rsidR="00A83EE3" w:rsidRDefault="00904E0F">
            <w:pPr>
              <w:spacing w:before="60" w:after="60" w:line="252" w:lineRule="auto"/>
              <w:rPr>
                <w:rFonts w:ascii="Times New Roman" w:hAnsi="Times New Roman" w:cs="Times New Roman"/>
                <w:sz w:val="26"/>
                <w:szCs w:val="26"/>
              </w:rPr>
            </w:pPr>
            <w:r>
              <w:rPr>
                <w:rFonts w:ascii="Times New Roman" w:hAnsi="Times New Roman" w:cs="Times New Roman"/>
                <w:b/>
                <w:i/>
                <w:sz w:val="26"/>
                <w:szCs w:val="26"/>
                <w:lang w:val="en-US"/>
              </w:rPr>
              <w:t xml:space="preserve">(i) </w:t>
            </w:r>
            <w:r>
              <w:rPr>
                <w:rFonts w:ascii="Times New Roman" w:hAnsi="Times New Roman" w:cs="Times New Roman"/>
                <w:sz w:val="26"/>
                <w:szCs w:val="26"/>
                <w:lang w:val="en-US"/>
              </w:rPr>
              <w:t>Q</w:t>
            </w:r>
            <w:r>
              <w:rPr>
                <w:rFonts w:ascii="Times New Roman" w:hAnsi="Times New Roman" w:cs="Times New Roman"/>
                <w:sz w:val="26"/>
                <w:szCs w:val="26"/>
              </w:rPr>
              <w:t xml:space="preserve">uy định </w:t>
            </w:r>
            <w:r>
              <w:rPr>
                <w:rFonts w:ascii="Times New Roman" w:hAnsi="Times New Roman" w:cs="Times New Roman"/>
                <w:sz w:val="26"/>
                <w:szCs w:val="26"/>
                <w:lang w:val="en-US"/>
              </w:rPr>
              <w:t xml:space="preserve">rõ </w:t>
            </w:r>
            <w:r>
              <w:rPr>
                <w:rFonts w:ascii="Times New Roman" w:hAnsi="Times New Roman" w:cs="Times New Roman"/>
                <w:sz w:val="26"/>
                <w:szCs w:val="26"/>
              </w:rPr>
              <w:t xml:space="preserve">Chủ tịch Hội đồng quản lý là Bộ trưởng Bộ Tài chính: </w:t>
            </w:r>
          </w:p>
          <w:p w:rsidR="00A83EE3" w:rsidRDefault="00904E0F">
            <w:pPr>
              <w:spacing w:before="60" w:after="60" w:line="252"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Lý do: </w:t>
            </w:r>
          </w:p>
          <w:p w:rsidR="00A83EE3" w:rsidRDefault="00904E0F">
            <w:pPr>
              <w:spacing w:before="60" w:after="60" w:line="252" w:lineRule="auto"/>
              <w:rPr>
                <w:rFonts w:ascii="Times New Roman" w:hAnsi="Times New Roman" w:cs="Times New Roman"/>
                <w:sz w:val="26"/>
                <w:szCs w:val="26"/>
              </w:rPr>
            </w:pPr>
            <w:r>
              <w:rPr>
                <w:rFonts w:ascii="Times New Roman" w:hAnsi="Times New Roman" w:cs="Times New Roman"/>
                <w:sz w:val="26"/>
                <w:szCs w:val="26"/>
                <w:lang w:val="en-US"/>
              </w:rPr>
              <w:t xml:space="preserve">- Phù hợp với vị trí, chức năng, nhiệm vụ, quyền hạn của Bộ trưởng Bộ Tài chính. Cụ thể: </w:t>
            </w:r>
            <w:r>
              <w:rPr>
                <w:rFonts w:ascii="Times New Roman" w:hAnsi="Times New Roman" w:cs="Times New Roman"/>
                <w:sz w:val="26"/>
                <w:szCs w:val="26"/>
              </w:rPr>
              <w:t xml:space="preserve">Tư tưởng thành lập Hội đồng quản lý bảo hiểm xã hội xuất phát từ thực tế đối với Việt Nam Quỹ Bảo hiểm xã hội với 5 quỹ thành phần là Quỹ An sinh xã hội lớn nhất ngoài ngân sách, chịu tác động đến quyền lợi, chính sách của hàng chục triệu người lao động và thân nhân của họ. Bên cạnh đó, về mặt điều tiết chính sách tiền tệ, kinh tế vĩ mô, Quỹ này cũng đóng vai trò hết sức quan trọng đặc biệt trong những bối cảnh, thời điểm nhất định để đảm bảo an toàn, điều tiết tài chính ở cấp quốc gia, Bộ Tài chính với vị trí, chức năng, </w:t>
            </w:r>
            <w:r>
              <w:rPr>
                <w:rFonts w:ascii="Times New Roman" w:hAnsi="Times New Roman" w:cs="Times New Roman"/>
                <w:sz w:val="26"/>
                <w:szCs w:val="26"/>
              </w:rPr>
              <w:lastRenderedPageBreak/>
              <w:t xml:space="preserve">nhiệm vụ và quyền hạn phù hợp để đảm nhiệm vai trò Chủ tịch Hội đồng quản lý. </w:t>
            </w:r>
          </w:p>
          <w:p w:rsidR="00A83EE3" w:rsidRDefault="00904E0F">
            <w:pPr>
              <w:spacing w:before="60" w:after="60" w:line="252" w:lineRule="auto"/>
              <w:rPr>
                <w:rFonts w:ascii="Times New Roman" w:hAnsi="Times New Roman" w:cs="Times New Roman"/>
                <w:sz w:val="26"/>
                <w:szCs w:val="26"/>
              </w:rPr>
            </w:pPr>
            <w:r>
              <w:rPr>
                <w:rFonts w:ascii="Times New Roman" w:hAnsi="Times New Roman" w:cs="Times New Roman"/>
                <w:sz w:val="26"/>
                <w:szCs w:val="26"/>
                <w:lang w:val="en-US"/>
              </w:rPr>
              <w:t>- Phù hợp với cơ cấu, thành phần hiện có của Hội đồng quản lý trong thời gian qua (Chủ tịch Hội đồng đã và đang là Bộ trưởng Bộ Tài chính).</w:t>
            </w:r>
          </w:p>
          <w:p w:rsidR="00A83EE3" w:rsidRDefault="00904E0F">
            <w:pPr>
              <w:numPr>
                <w:ilvl w:val="255"/>
                <w:numId w:val="0"/>
              </w:numPr>
              <w:shd w:val="clear" w:color="auto" w:fill="FFFFFF"/>
              <w:spacing w:before="60" w:after="60" w:line="252" w:lineRule="auto"/>
              <w:ind w:left="10"/>
              <w:rPr>
                <w:rFonts w:ascii="Times New Roman" w:hAnsi="Times New Roman" w:cs="Times New Roman"/>
                <w:sz w:val="26"/>
                <w:szCs w:val="26"/>
                <w:lang w:val="en-US"/>
              </w:rPr>
            </w:pPr>
            <w:r>
              <w:rPr>
                <w:rFonts w:ascii="Times New Roman" w:hAnsi="Times New Roman" w:cs="Times New Roman"/>
                <w:sz w:val="26"/>
                <w:szCs w:val="26"/>
                <w:lang w:val="en-US"/>
              </w:rPr>
              <w:t xml:space="preserve">(ii) Bổ sung quy định đại diện Ngân hàng Nhà nước tham gia là Thành viên Hội đồng quản lý. </w:t>
            </w:r>
          </w:p>
          <w:p w:rsidR="00A83EE3" w:rsidRDefault="00904E0F">
            <w:pPr>
              <w:numPr>
                <w:ilvl w:val="255"/>
                <w:numId w:val="0"/>
              </w:numPr>
              <w:shd w:val="clear" w:color="auto" w:fill="FFFFFF"/>
              <w:spacing w:before="60" w:after="60" w:line="252" w:lineRule="auto"/>
              <w:ind w:left="10"/>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 xml:space="preserve">Lý do: Luật BHXH số 41/2024/QH15 đã bổ sung thành viên tham gia Hội đồng quản lý là đại diện Ngân hàng Nhà nước Việt Nam để tăng cường vai trò và chuyên môn kiểm soát liên quan đến lĩnh vực đầu tư, tiền gửi Ngân hàng...giúp Hội đồng quản lý thực hiện tốt hơn nhiệm vụ được giao. </w:t>
            </w:r>
          </w:p>
          <w:p w:rsidR="00A83EE3" w:rsidRDefault="00904E0F">
            <w:pPr>
              <w:numPr>
                <w:ilvl w:val="255"/>
                <w:numId w:val="0"/>
              </w:numPr>
              <w:shd w:val="clear" w:color="auto" w:fill="FFFFFF"/>
              <w:spacing w:before="60" w:after="60" w:line="252" w:lineRule="auto"/>
              <w:ind w:left="10"/>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 xml:space="preserve">(iii)  Vị trí Phó Chủ tịch thường trực trước do Tổng giám đốc BHXH VN đảm nhiệm. Nay BHXH Việt Nam đã sáp nhập thành đơn vị thuộc Bộ Tài chính, do vậy, đề nghị chỉ có 01 Phó Chủ tịch chuyên trách và Giám đốc BHXH Việt Nam tham gia là ủy viên kiêm nhiệm của Hội đồng quản lý. </w:t>
            </w:r>
          </w:p>
          <w:p w:rsidR="00A83EE3" w:rsidRDefault="00904E0F">
            <w:pPr>
              <w:shd w:val="clear" w:color="auto" w:fill="FFFFFF"/>
              <w:spacing w:before="60" w:after="60" w:line="252" w:lineRule="auto"/>
              <w:rPr>
                <w:rFonts w:ascii="Times New Roman" w:hAnsi="Times New Roman" w:cs="Times New Roman"/>
                <w:sz w:val="26"/>
                <w:szCs w:val="26"/>
                <w:lang w:val="en-US"/>
              </w:rPr>
            </w:pPr>
            <w:r>
              <w:rPr>
                <w:rFonts w:ascii="Times New Roman" w:hAnsi="Times New Roman" w:cs="Times New Roman"/>
                <w:szCs w:val="28"/>
                <w:lang w:val="en-US"/>
              </w:rPr>
              <w:t>(</w:t>
            </w:r>
            <w:r>
              <w:rPr>
                <w:rFonts w:ascii="Times New Roman" w:hAnsi="Times New Roman" w:cs="Times New Roman"/>
                <w:sz w:val="26"/>
                <w:szCs w:val="26"/>
                <w:lang w:val="en-US"/>
              </w:rPr>
              <w:t>4) Số lượng và c</w:t>
            </w:r>
            <w:r>
              <w:rPr>
                <w:rFonts w:ascii="Times New Roman" w:hAnsi="Times New Roman" w:cs="Times New Roman"/>
                <w:sz w:val="26"/>
                <w:szCs w:val="26"/>
              </w:rPr>
              <w:t>ơ cấu thành phần tham gia</w:t>
            </w:r>
            <w:r>
              <w:rPr>
                <w:rFonts w:ascii="Times New Roman" w:hAnsi="Times New Roman" w:cs="Times New Roman"/>
                <w:sz w:val="26"/>
                <w:szCs w:val="26"/>
                <w:lang w:val="en-US"/>
              </w:rPr>
              <w:t xml:space="preserve"> HĐQL: Đảm </w:t>
            </w:r>
            <w:r>
              <w:rPr>
                <w:rFonts w:ascii="Times New Roman" w:hAnsi="Times New Roman" w:cs="Times New Roman"/>
                <w:sz w:val="26"/>
                <w:szCs w:val="26"/>
              </w:rPr>
              <w:t>bảo tỷ lệ tham gia của cơ chế 3 bên (Nhà nước; Người sử dụng lao động; Người lao động), trong đó có cả các chuyên gia, nhà khoa học độc lập (</w:t>
            </w:r>
            <w:r>
              <w:rPr>
                <w:rFonts w:ascii="Times New Roman" w:hAnsi="Times New Roman" w:cs="Times New Roman"/>
                <w:sz w:val="26"/>
                <w:szCs w:val="26"/>
                <w:lang w:val="en-US"/>
              </w:rPr>
              <w:t>U</w:t>
            </w:r>
            <w:r>
              <w:rPr>
                <w:rFonts w:ascii="Times New Roman" w:hAnsi="Times New Roman" w:cs="Times New Roman"/>
                <w:sz w:val="26"/>
                <w:szCs w:val="26"/>
              </w:rPr>
              <w:t xml:space="preserve">ỷ viên chuyên trách) và </w:t>
            </w:r>
            <w:r>
              <w:rPr>
                <w:rFonts w:ascii="Times New Roman" w:hAnsi="Times New Roman" w:cs="Times New Roman"/>
                <w:sz w:val="26"/>
                <w:szCs w:val="26"/>
                <w:lang w:val="en-US"/>
              </w:rPr>
              <w:t xml:space="preserve">tổng số thành viên Ủy viên là số lẻ.  </w:t>
            </w:r>
          </w:p>
        </w:tc>
      </w:tr>
      <w:tr w:rsidR="00A83EE3">
        <w:trPr>
          <w:trHeight w:val="312"/>
        </w:trPr>
        <w:tc>
          <w:tcPr>
            <w:tcW w:w="1617" w:type="pct"/>
          </w:tcPr>
          <w:p w:rsidR="00A83EE3" w:rsidRDefault="00904E0F">
            <w:pPr>
              <w:spacing w:before="60" w:after="60" w:line="252" w:lineRule="auto"/>
              <w:rPr>
                <w:rFonts w:ascii="Times New Roman" w:hAnsi="Times New Roman" w:cs="Times New Roman"/>
                <w:b/>
                <w:i/>
                <w:sz w:val="26"/>
                <w:szCs w:val="26"/>
                <w:lang w:val="en-US"/>
              </w:rPr>
            </w:pPr>
            <w:r>
              <w:rPr>
                <w:rFonts w:ascii="Times New Roman" w:hAnsi="Times New Roman" w:cs="Times New Roman"/>
                <w:b/>
                <w:i/>
                <w:sz w:val="26"/>
                <w:szCs w:val="26"/>
                <w:lang w:val="en-US"/>
              </w:rPr>
              <w:lastRenderedPageBreak/>
              <w:t>1. Nghị định 89/2020/NĐ-CP ngày 08/4/2020 của Chính phủ</w:t>
            </w:r>
          </w:p>
          <w:p w:rsidR="00A83EE3" w:rsidRDefault="00904E0F">
            <w:pPr>
              <w:shd w:val="clear" w:color="auto" w:fill="FFFFFF"/>
              <w:spacing w:before="60" w:after="60" w:line="252" w:lineRule="auto"/>
              <w:rPr>
                <w:rFonts w:ascii="Times New Roman" w:eastAsia="Times New Roman" w:hAnsi="Times New Roman" w:cs="Times New Roman"/>
                <w:color w:val="000000"/>
                <w:sz w:val="26"/>
                <w:szCs w:val="26"/>
              </w:rPr>
            </w:pPr>
            <w:r>
              <w:rPr>
                <w:rFonts w:ascii="Times New Roman" w:hAnsi="Times New Roman" w:cs="Times New Roman"/>
                <w:color w:val="000000" w:themeColor="text1"/>
                <w:sz w:val="26"/>
                <w:szCs w:val="26"/>
                <w:lang w:val="pt-BR"/>
              </w:rPr>
              <w:lastRenderedPageBreak/>
              <w:t xml:space="preserve">Chương III, Khoản 3 Điều 10. Hội đồng quản lý bảo hiểm xã hội quy định: </w:t>
            </w:r>
          </w:p>
          <w:p w:rsidR="00A83EE3" w:rsidRDefault="00904E0F">
            <w:pPr>
              <w:shd w:val="clear" w:color="auto" w:fill="FFFFFF"/>
              <w:spacing w:before="60" w:after="60" w:line="252" w:lineRule="auto"/>
              <w:rPr>
                <w:rFonts w:ascii="Times New Roman" w:hAnsi="Times New Roman" w:cs="Times New Roman"/>
                <w:color w:val="000000" w:themeColor="text1"/>
                <w:sz w:val="26"/>
                <w:szCs w:val="26"/>
                <w:lang w:val="en-US"/>
              </w:rPr>
            </w:pPr>
            <w:r>
              <w:rPr>
                <w:rFonts w:ascii="Times New Roman" w:eastAsia="SimSun" w:hAnsi="Times New Roman" w:cs="Times New Roman"/>
                <w:i/>
                <w:iCs/>
                <w:color w:val="000000"/>
                <w:sz w:val="26"/>
                <w:szCs w:val="26"/>
                <w:shd w:val="clear" w:color="auto" w:fill="FFFFFF"/>
                <w:lang w:val="en-US"/>
              </w:rPr>
              <w:t>“</w:t>
            </w:r>
            <w:r>
              <w:rPr>
                <w:rFonts w:ascii="Times New Roman" w:eastAsia="SimSun" w:hAnsi="Times New Roman" w:cs="Times New Roman"/>
                <w:i/>
                <w:iCs/>
                <w:color w:val="000000"/>
                <w:sz w:val="26"/>
                <w:szCs w:val="26"/>
                <w:shd w:val="clear" w:color="auto" w:fill="FFFFFF"/>
              </w:rPr>
              <w:t>3. Hội đồng quản lý có Chủ tịch, các Phó Chủ tịch và các Ủy viên do Thủ tướng Chính phủ bổ nhiệm, miễn nhiệm, cách chức theo đề nghị của Bộ trưởng Bộ Nội vụ; nhiệm kỳ của thành viên Hội đồng quản lý là 05 năm.</w:t>
            </w:r>
            <w:r>
              <w:rPr>
                <w:rFonts w:ascii="Times New Roman" w:eastAsia="SimSun" w:hAnsi="Times New Roman" w:cs="Times New Roman"/>
                <w:i/>
                <w:iCs/>
                <w:color w:val="000000"/>
                <w:sz w:val="26"/>
                <w:szCs w:val="26"/>
                <w:shd w:val="clear" w:color="auto" w:fill="FFFFFF"/>
                <w:lang w:val="en-US"/>
              </w:rPr>
              <w:t>”</w:t>
            </w:r>
          </w:p>
        </w:tc>
        <w:tc>
          <w:tcPr>
            <w:tcW w:w="1616" w:type="pct"/>
            <w:shd w:val="clear" w:color="auto" w:fill="auto"/>
            <w:vAlign w:val="center"/>
          </w:tcPr>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lastRenderedPageBreak/>
              <w:t xml:space="preserve">3. Thủ tướng Chính phủ bổ nhiệm, miễn nhiệm, cách chức theo đề nghị của Bộ Nội vụ </w:t>
            </w:r>
            <w:r>
              <w:rPr>
                <w:rFonts w:ascii="Times New Roman" w:hAnsi="Times New Roman" w:cs="Times New Roman"/>
                <w:color w:val="000000" w:themeColor="text1"/>
                <w:sz w:val="26"/>
                <w:szCs w:val="26"/>
                <w:lang w:val="pt-BR"/>
              </w:rPr>
              <w:lastRenderedPageBreak/>
              <w:t>đối với Chủ tịch, Phó Chủ tịch chuyên trách và các ủy viên</w:t>
            </w:r>
            <w:r>
              <w:rPr>
                <w:rFonts w:ascii="Times New Roman" w:hAnsi="Times New Roman" w:cs="Times New Roman"/>
                <w:color w:val="000000" w:themeColor="text1"/>
                <w:sz w:val="26"/>
                <w:szCs w:val="26"/>
                <w:lang w:val="en-US"/>
              </w:rPr>
              <w:t xml:space="preserve"> của Hội đồng quản lý theo đề nghị của Bộ Nội vụ</w:t>
            </w:r>
            <w:r>
              <w:rPr>
                <w:rFonts w:ascii="Times New Roman" w:hAnsi="Times New Roman" w:cs="Times New Roman"/>
                <w:color w:val="000000" w:themeColor="text1"/>
                <w:sz w:val="26"/>
                <w:szCs w:val="26"/>
                <w:lang w:val="pt-BR"/>
              </w:rPr>
              <w:t>; nhiệm kỳ của thành viên Hội đồng quản lý là 05 năm.</w:t>
            </w:r>
          </w:p>
        </w:tc>
        <w:tc>
          <w:tcPr>
            <w:tcW w:w="1765" w:type="pct"/>
            <w:vAlign w:val="center"/>
          </w:tcPr>
          <w:p w:rsidR="00A83EE3" w:rsidRDefault="00904E0F">
            <w:pPr>
              <w:shd w:val="clear" w:color="auto" w:fill="FFFFFF"/>
              <w:spacing w:before="60" w:after="60" w:line="252" w:lineRule="auto"/>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 xml:space="preserve">Kế thừa các quy định đã có tại Nghị định số 89/2020/NĐ-CP. </w:t>
            </w:r>
          </w:p>
          <w:p w:rsidR="00A83EE3" w:rsidRDefault="00A83EE3">
            <w:pPr>
              <w:spacing w:before="60" w:after="60" w:line="252" w:lineRule="auto"/>
              <w:rPr>
                <w:rFonts w:ascii="Times New Roman" w:hAnsi="Times New Roman" w:cs="Times New Roman"/>
                <w:sz w:val="26"/>
                <w:szCs w:val="26"/>
                <w:lang w:val="en-US"/>
              </w:rPr>
            </w:pPr>
          </w:p>
        </w:tc>
      </w:tr>
      <w:tr w:rsidR="00A83EE3">
        <w:trPr>
          <w:trHeight w:val="312"/>
        </w:trPr>
        <w:tc>
          <w:tcPr>
            <w:tcW w:w="1617" w:type="pct"/>
          </w:tcPr>
          <w:p w:rsidR="00A83EE3" w:rsidRDefault="00A83EE3">
            <w:pPr>
              <w:spacing w:before="60" w:after="60" w:line="252" w:lineRule="auto"/>
              <w:rPr>
                <w:rFonts w:ascii="Times New Roman" w:hAnsi="Times New Roman" w:cs="Times New Roman"/>
                <w:color w:val="000000" w:themeColor="text1"/>
                <w:sz w:val="26"/>
                <w:szCs w:val="26"/>
                <w:lang w:val="pt-BR"/>
              </w:rPr>
            </w:pPr>
          </w:p>
        </w:tc>
        <w:tc>
          <w:tcPr>
            <w:tcW w:w="1616" w:type="pct"/>
            <w:shd w:val="clear" w:color="auto" w:fill="auto"/>
            <w:vAlign w:val="center"/>
          </w:tcPr>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eastAsia="SimSun" w:hAnsi="Times New Roman" w:cs="Times New Roman"/>
                <w:sz w:val="26"/>
                <w:szCs w:val="26"/>
              </w:rPr>
              <w:t>4.  Trình tự, thủ tục bổ nhiệm, cách chức, miễn nhiệm các chức danh kiêm nhiệm Chủ tịch, Phó Chủ tịch chuyên trách và ủy viên Hội đồng quản lý theo quy định của pháp luật</w:t>
            </w:r>
          </w:p>
        </w:tc>
        <w:tc>
          <w:tcPr>
            <w:tcW w:w="1765" w:type="pct"/>
            <w:vAlign w:val="center"/>
          </w:tcPr>
          <w:p w:rsidR="00A83EE3" w:rsidRDefault="00904E0F">
            <w:pPr>
              <w:spacing w:before="60" w:after="60" w:line="252" w:lineRule="auto"/>
              <w:rPr>
                <w:rFonts w:ascii="Times New Roman" w:hAnsi="Times New Roman" w:cs="Times New Roman"/>
                <w:sz w:val="26"/>
                <w:szCs w:val="26"/>
                <w:lang w:val="en-US"/>
              </w:rPr>
            </w:pPr>
            <w:r>
              <w:rPr>
                <w:rFonts w:ascii="Times New Roman" w:hAnsi="Times New Roman" w:cs="Times New Roman"/>
                <w:sz w:val="26"/>
                <w:szCs w:val="26"/>
                <w:lang w:val="en-US"/>
              </w:rPr>
              <w:t>Dự thảo Nghị định bổ sung mới để quy định cụ thể và</w:t>
            </w:r>
            <w:r>
              <w:rPr>
                <w:rFonts w:ascii="Times New Roman" w:hAnsi="Times New Roman"/>
                <w:sz w:val="26"/>
                <w:szCs w:val="26"/>
              </w:rPr>
              <w:t xml:space="preserve"> thống nhất khi thực hiện</w:t>
            </w:r>
            <w:r>
              <w:rPr>
                <w:rFonts w:ascii="Times New Roman" w:hAnsi="Times New Roman"/>
                <w:sz w:val="26"/>
                <w:szCs w:val="26"/>
                <w:lang w:val="en-US"/>
              </w:rPr>
              <w:t xml:space="preserve">, đảm bảo phù hợp với quy định pháp luật hiện hành.   </w:t>
            </w:r>
          </w:p>
        </w:tc>
      </w:tr>
      <w:tr w:rsidR="00A83EE3">
        <w:trPr>
          <w:trHeight w:val="312"/>
        </w:trPr>
        <w:tc>
          <w:tcPr>
            <w:tcW w:w="1617" w:type="pct"/>
          </w:tcPr>
          <w:p w:rsidR="00A83EE3" w:rsidRDefault="00A83EE3">
            <w:pPr>
              <w:spacing w:before="60" w:after="60" w:line="252" w:lineRule="auto"/>
              <w:rPr>
                <w:rFonts w:ascii="Times New Roman" w:hAnsi="Times New Roman" w:cs="Times New Roman"/>
                <w:b/>
                <w:color w:val="000000" w:themeColor="text1"/>
                <w:sz w:val="26"/>
                <w:szCs w:val="26"/>
                <w:lang w:val="pt-BR"/>
              </w:rPr>
            </w:pPr>
          </w:p>
        </w:tc>
        <w:tc>
          <w:tcPr>
            <w:tcW w:w="1616" w:type="pct"/>
            <w:shd w:val="clear" w:color="auto" w:fill="auto"/>
            <w:vAlign w:val="center"/>
          </w:tcPr>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b/>
                <w:color w:val="000000" w:themeColor="text1"/>
                <w:sz w:val="26"/>
                <w:szCs w:val="26"/>
                <w:lang w:val="pt-BR"/>
              </w:rPr>
              <w:t xml:space="preserve">Điều 4. Tiêu chuẩn đối với thành viên Hội đồng quản lý </w:t>
            </w:r>
          </w:p>
        </w:tc>
        <w:tc>
          <w:tcPr>
            <w:tcW w:w="1765" w:type="pct"/>
            <w:vMerge w:val="restart"/>
            <w:vAlign w:val="center"/>
          </w:tcPr>
          <w:p w:rsidR="00A83EE3" w:rsidRDefault="00904E0F">
            <w:pPr>
              <w:numPr>
                <w:ilvl w:val="255"/>
                <w:numId w:val="0"/>
              </w:numPr>
              <w:shd w:val="clear" w:color="auto" w:fill="FFFFFF"/>
              <w:spacing w:before="60" w:after="60" w:line="252" w:lineRule="auto"/>
              <w:rPr>
                <w:rFonts w:ascii="Times New Roman" w:hAnsi="Times New Roman" w:cs="Times New Roman"/>
                <w:color w:val="000000" w:themeColor="text1"/>
                <w:sz w:val="26"/>
                <w:szCs w:val="26"/>
                <w:lang w:val="en-US"/>
              </w:rPr>
            </w:pPr>
            <w:r>
              <w:rPr>
                <w:rFonts w:ascii="Times New Roman" w:hAnsi="Times New Roman" w:cs="Times New Roman"/>
                <w:color w:val="000000" w:themeColor="text1"/>
                <w:sz w:val="26"/>
                <w:szCs w:val="26"/>
                <w:lang w:val="en-US"/>
              </w:rPr>
              <w:t xml:space="preserve">Dự thảo Nghị định bổ sung mới điều khoản riêng quy định tiêu chuẩn đối với thành viên Hội đồng quản lý bao gồm: (1) Tiêu chuẩn chung đối với thành viên Hội đồng quản lý và (2) Tiêu chuẩn đối với Phó Chủ tịch chuyên trách Hội đồng quản lý. </w:t>
            </w:r>
          </w:p>
          <w:p w:rsidR="00A83EE3" w:rsidRDefault="00904E0F">
            <w:pPr>
              <w:numPr>
                <w:ilvl w:val="255"/>
                <w:numId w:val="0"/>
              </w:numPr>
              <w:shd w:val="clear" w:color="auto" w:fill="FFFFFF"/>
              <w:spacing w:before="60" w:after="60" w:line="252" w:lineRule="auto"/>
              <w:rPr>
                <w:rFonts w:ascii="Times New Roman" w:hAnsi="Times New Roman" w:cs="Times New Roman"/>
                <w:color w:val="000000" w:themeColor="text1"/>
                <w:sz w:val="26"/>
                <w:szCs w:val="26"/>
                <w:lang w:val="en-US"/>
              </w:rPr>
            </w:pPr>
            <w:r>
              <w:rPr>
                <w:rFonts w:ascii="Times New Roman" w:hAnsi="Times New Roman" w:cs="Times New Roman"/>
                <w:color w:val="000000" w:themeColor="text1"/>
                <w:sz w:val="26"/>
                <w:szCs w:val="26"/>
                <w:lang w:val="en-US"/>
              </w:rPr>
              <w:t xml:space="preserve">Việc quy định các tiêu chuẩn đối với thành viên Hội đồng quản lý nhằm nhằm đảm bảo việc lựa chọn, bổ nhiệm, miễn nhiệm và thay thế các thành viên đảm bảo vừa đáp ứng được quy định tiêu chuẩn chung của pháp luật vừa phù hợp với yêu cầu, nhiệm vụ của Hội đồng quản lý. </w:t>
            </w:r>
          </w:p>
          <w:p w:rsidR="00A83EE3" w:rsidRDefault="00A83EE3">
            <w:pPr>
              <w:numPr>
                <w:ilvl w:val="255"/>
                <w:numId w:val="0"/>
              </w:numPr>
              <w:shd w:val="clear" w:color="auto" w:fill="FFFFFF"/>
              <w:spacing w:before="60" w:after="60" w:line="252" w:lineRule="auto"/>
              <w:rPr>
                <w:rFonts w:ascii="Times New Roman" w:hAnsi="Times New Roman" w:cs="Times New Roman"/>
                <w:color w:val="000000" w:themeColor="text1"/>
                <w:sz w:val="26"/>
                <w:szCs w:val="26"/>
                <w:lang w:val="en-US"/>
              </w:rPr>
            </w:pPr>
          </w:p>
          <w:p w:rsidR="00A83EE3" w:rsidRDefault="00A83EE3">
            <w:pPr>
              <w:spacing w:before="60" w:after="60" w:line="252" w:lineRule="auto"/>
              <w:rPr>
                <w:rFonts w:ascii="Times New Roman" w:hAnsi="Times New Roman" w:cs="Times New Roman"/>
                <w:sz w:val="26"/>
                <w:szCs w:val="26"/>
                <w:lang w:val="en-US"/>
              </w:rPr>
            </w:pPr>
          </w:p>
        </w:tc>
      </w:tr>
      <w:tr w:rsidR="00A83EE3">
        <w:trPr>
          <w:trHeight w:val="312"/>
        </w:trPr>
        <w:tc>
          <w:tcPr>
            <w:tcW w:w="1617" w:type="pct"/>
            <w:vMerge w:val="restart"/>
          </w:tcPr>
          <w:p w:rsidR="00A83EE3" w:rsidRDefault="00A83EE3">
            <w:pPr>
              <w:spacing w:before="60" w:after="60" w:line="252" w:lineRule="auto"/>
              <w:rPr>
                <w:rFonts w:ascii="Times New Roman" w:hAnsi="Times New Roman" w:cs="Times New Roman"/>
                <w:color w:val="000000" w:themeColor="text1"/>
                <w:sz w:val="26"/>
                <w:szCs w:val="26"/>
                <w:lang w:val="pt-BR"/>
              </w:rPr>
            </w:pPr>
          </w:p>
        </w:tc>
        <w:tc>
          <w:tcPr>
            <w:tcW w:w="1616" w:type="pct"/>
            <w:shd w:val="clear" w:color="auto" w:fill="auto"/>
            <w:vAlign w:val="center"/>
          </w:tcPr>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1. Tiêu chuẩn chung</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lang w:val="pt-BR"/>
              </w:rPr>
              <w:t xml:space="preserve">đối với các </w:t>
            </w:r>
            <w:r>
              <w:rPr>
                <w:rFonts w:ascii="Times New Roman" w:hAnsi="Times New Roman" w:cs="Times New Roman"/>
                <w:color w:val="000000" w:themeColor="text1"/>
                <w:sz w:val="26"/>
                <w:szCs w:val="26"/>
              </w:rPr>
              <w:t xml:space="preserve">thành viên </w:t>
            </w:r>
            <w:r>
              <w:rPr>
                <w:rFonts w:ascii="Times New Roman" w:hAnsi="Times New Roman" w:cs="Times New Roman"/>
                <w:color w:val="000000" w:themeColor="text1"/>
                <w:sz w:val="26"/>
                <w:szCs w:val="26"/>
                <w:lang w:val="pt-BR"/>
              </w:rPr>
              <w:t xml:space="preserve">Hội đồng quản lý: </w:t>
            </w:r>
          </w:p>
          <w:p w:rsidR="00A83EE3" w:rsidRDefault="00904E0F">
            <w:pPr>
              <w:spacing w:before="60" w:after="60" w:line="252" w:lineRule="auto"/>
              <w:rPr>
                <w:rFonts w:ascii="Times New Roman" w:eastAsia="SimSun" w:hAnsi="Times New Roman" w:cs="Times New Roman"/>
                <w:sz w:val="26"/>
                <w:szCs w:val="26"/>
              </w:rPr>
            </w:pPr>
            <w:r>
              <w:rPr>
                <w:rFonts w:ascii="Times New Roman" w:eastAsia="SimSun" w:hAnsi="Times New Roman" w:cs="Times New Roman"/>
                <w:sz w:val="26"/>
                <w:szCs w:val="26"/>
              </w:rPr>
              <w:t xml:space="preserve">a) Đáp ứng các tiêu chuẩn chung theo quy định của pháp luật; </w:t>
            </w:r>
          </w:p>
          <w:p w:rsidR="00A83EE3" w:rsidRDefault="00904E0F">
            <w:pPr>
              <w:spacing w:before="60" w:after="60" w:line="252" w:lineRule="auto"/>
              <w:rPr>
                <w:rFonts w:ascii="Times New Roman" w:hAnsi="Times New Roman" w:cs="Times New Roman"/>
                <w:color w:val="000000" w:themeColor="text1"/>
                <w:sz w:val="26"/>
                <w:szCs w:val="26"/>
              </w:rPr>
            </w:pPr>
            <w:r>
              <w:rPr>
                <w:rFonts w:ascii="Times New Roman" w:eastAsia="SimSun" w:hAnsi="Times New Roman" w:cs="Times New Roman"/>
                <w:sz w:val="26"/>
                <w:szCs w:val="26"/>
              </w:rPr>
              <w:t xml:space="preserve">b) Được cơ quan, tổ chức nơi công tác đề cử, giới thiệu đại diện cho cơ quan, tổ chức tham gia Hội đồng quản lý. </w:t>
            </w:r>
          </w:p>
        </w:tc>
        <w:tc>
          <w:tcPr>
            <w:tcW w:w="1765" w:type="pct"/>
            <w:vMerge/>
            <w:vAlign w:val="center"/>
          </w:tcPr>
          <w:p w:rsidR="00A83EE3" w:rsidRDefault="00A83EE3">
            <w:pPr>
              <w:spacing w:before="60" w:after="60" w:line="252" w:lineRule="auto"/>
              <w:rPr>
                <w:rFonts w:ascii="Times New Roman" w:hAnsi="Times New Roman" w:cs="Times New Roman"/>
                <w:sz w:val="26"/>
                <w:szCs w:val="26"/>
                <w:lang w:val="en-US"/>
              </w:rPr>
            </w:pPr>
          </w:p>
        </w:tc>
      </w:tr>
      <w:tr w:rsidR="00A83EE3">
        <w:trPr>
          <w:trHeight w:val="312"/>
        </w:trPr>
        <w:tc>
          <w:tcPr>
            <w:tcW w:w="1617" w:type="pct"/>
            <w:vMerge/>
          </w:tcPr>
          <w:p w:rsidR="00A83EE3" w:rsidRDefault="00A83EE3">
            <w:pPr>
              <w:spacing w:before="60" w:after="60" w:line="252" w:lineRule="auto"/>
              <w:ind w:firstLine="22"/>
              <w:rPr>
                <w:rFonts w:ascii="Times New Roman" w:hAnsi="Times New Roman" w:cs="Times New Roman"/>
                <w:color w:val="000000" w:themeColor="text1"/>
                <w:sz w:val="26"/>
                <w:szCs w:val="26"/>
                <w:lang w:val="pt-BR"/>
              </w:rPr>
            </w:pPr>
          </w:p>
        </w:tc>
        <w:tc>
          <w:tcPr>
            <w:tcW w:w="1616" w:type="pct"/>
            <w:shd w:val="clear" w:color="auto" w:fill="auto"/>
            <w:vAlign w:val="center"/>
          </w:tcPr>
          <w:p w:rsidR="00A83EE3" w:rsidRDefault="00904E0F">
            <w:pPr>
              <w:spacing w:before="60" w:after="60" w:line="252" w:lineRule="auto"/>
              <w:ind w:firstLine="22"/>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pt-BR"/>
              </w:rPr>
              <w:t>2. Tiêu chuẩn đối với Phó</w:t>
            </w:r>
            <w:r>
              <w:rPr>
                <w:rFonts w:ascii="Times New Roman" w:hAnsi="Times New Roman" w:cs="Times New Roman"/>
                <w:color w:val="000000" w:themeColor="text1"/>
                <w:sz w:val="26"/>
                <w:szCs w:val="26"/>
              </w:rPr>
              <w:t xml:space="preserve"> Chủ tịch chuyên trách Hội đồng quản lý:</w:t>
            </w:r>
          </w:p>
          <w:p w:rsidR="00A83EE3" w:rsidRDefault="00904E0F">
            <w:pPr>
              <w:spacing w:before="60" w:after="60" w:line="252" w:lineRule="auto"/>
              <w:ind w:firstLine="22"/>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a) Đáp ứng </w:t>
            </w:r>
            <w:r>
              <w:rPr>
                <w:rFonts w:ascii="Times New Roman" w:hAnsi="Times New Roman" w:cs="Times New Roman"/>
                <w:color w:val="000000" w:themeColor="text1"/>
                <w:sz w:val="26"/>
                <w:szCs w:val="26"/>
                <w:lang w:val="en-US"/>
              </w:rPr>
              <w:t xml:space="preserve">các </w:t>
            </w:r>
            <w:r>
              <w:rPr>
                <w:rFonts w:ascii="Times New Roman" w:hAnsi="Times New Roman" w:cs="Times New Roman"/>
                <w:color w:val="000000" w:themeColor="text1"/>
                <w:sz w:val="26"/>
                <w:szCs w:val="26"/>
              </w:rPr>
              <w:t>tiêu chuẩn</w:t>
            </w:r>
            <w:r>
              <w:rPr>
                <w:rFonts w:ascii="Times New Roman" w:hAnsi="Times New Roman" w:cs="Times New Roman"/>
                <w:color w:val="000000" w:themeColor="text1"/>
                <w:sz w:val="26"/>
                <w:szCs w:val="26"/>
                <w:lang w:val="en-US"/>
              </w:rPr>
              <w:t xml:space="preserve"> chung theo </w:t>
            </w:r>
            <w:r>
              <w:rPr>
                <w:rFonts w:ascii="Times New Roman" w:hAnsi="Times New Roman" w:cs="Times New Roman"/>
                <w:color w:val="000000" w:themeColor="text1"/>
                <w:sz w:val="26"/>
                <w:szCs w:val="26"/>
              </w:rPr>
              <w:t>quy định</w:t>
            </w:r>
            <w:r>
              <w:rPr>
                <w:rFonts w:ascii="Times New Roman" w:hAnsi="Times New Roman" w:cs="Times New Roman"/>
                <w:color w:val="000000" w:themeColor="text1"/>
                <w:sz w:val="26"/>
                <w:szCs w:val="26"/>
                <w:lang w:val="en-US"/>
              </w:rPr>
              <w:t xml:space="preserve"> của pháp luật; </w:t>
            </w:r>
          </w:p>
          <w:p w:rsidR="00A83EE3" w:rsidRDefault="00904E0F">
            <w:pPr>
              <w:spacing w:before="60" w:after="60" w:line="252" w:lineRule="auto"/>
              <w:ind w:firstLine="22"/>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 Có năng lực, kinh nghiệm quản lý hoặc chuyên môn về lĩnh vực bảo hiểm xã hội, bảo hiểm y tế, tài chính bảo hiểm xã hội.</w:t>
            </w:r>
          </w:p>
        </w:tc>
        <w:tc>
          <w:tcPr>
            <w:tcW w:w="1765" w:type="pct"/>
            <w:vMerge/>
            <w:vAlign w:val="center"/>
          </w:tcPr>
          <w:p w:rsidR="00A83EE3" w:rsidRDefault="00A83EE3">
            <w:pPr>
              <w:spacing w:before="60" w:after="60" w:line="252" w:lineRule="auto"/>
              <w:rPr>
                <w:rFonts w:ascii="Times New Roman" w:hAnsi="Times New Roman" w:cs="Times New Roman"/>
                <w:sz w:val="26"/>
                <w:szCs w:val="26"/>
                <w:lang w:val="en-US"/>
              </w:rPr>
            </w:pPr>
          </w:p>
        </w:tc>
      </w:tr>
      <w:tr w:rsidR="00A83EE3">
        <w:trPr>
          <w:trHeight w:val="312"/>
        </w:trPr>
        <w:tc>
          <w:tcPr>
            <w:tcW w:w="1617" w:type="pct"/>
          </w:tcPr>
          <w:p w:rsidR="00A83EE3" w:rsidRDefault="00A83EE3">
            <w:pPr>
              <w:spacing w:before="60" w:after="60" w:line="252" w:lineRule="auto"/>
              <w:ind w:firstLine="22"/>
              <w:rPr>
                <w:rFonts w:ascii="Times New Roman" w:hAnsi="Times New Roman" w:cs="Times New Roman"/>
                <w:b/>
                <w:bCs/>
                <w:sz w:val="26"/>
                <w:szCs w:val="26"/>
                <w:lang w:val="en-US"/>
              </w:rPr>
            </w:pPr>
          </w:p>
        </w:tc>
        <w:tc>
          <w:tcPr>
            <w:tcW w:w="1616" w:type="pct"/>
            <w:shd w:val="clear" w:color="auto" w:fill="auto"/>
            <w:vAlign w:val="center"/>
          </w:tcPr>
          <w:p w:rsidR="00A83EE3" w:rsidRDefault="00904E0F">
            <w:pPr>
              <w:spacing w:before="60" w:after="60" w:line="252" w:lineRule="auto"/>
              <w:ind w:firstLine="22"/>
              <w:rPr>
                <w:rFonts w:ascii="Times New Roman" w:hAnsi="Times New Roman" w:cs="Times New Roman"/>
                <w:b/>
                <w:bCs/>
                <w:sz w:val="26"/>
                <w:szCs w:val="26"/>
                <w:lang w:val="en-US"/>
              </w:rPr>
            </w:pPr>
            <w:r>
              <w:rPr>
                <w:rFonts w:ascii="Times New Roman" w:hAnsi="Times New Roman" w:cs="Times New Roman"/>
                <w:b/>
                <w:bCs/>
                <w:sz w:val="26"/>
                <w:szCs w:val="26"/>
                <w:lang w:val="en-US"/>
              </w:rPr>
              <w:t>Điều 5. Chế độ làm việc của Hội đồng quản lý</w:t>
            </w:r>
          </w:p>
        </w:tc>
        <w:tc>
          <w:tcPr>
            <w:tcW w:w="1765" w:type="pct"/>
            <w:vAlign w:val="center"/>
          </w:tcPr>
          <w:p w:rsidR="00A83EE3" w:rsidRDefault="00A83EE3">
            <w:pPr>
              <w:spacing w:before="60" w:after="60" w:line="252" w:lineRule="auto"/>
              <w:rPr>
                <w:rFonts w:ascii="Times New Roman" w:hAnsi="Times New Roman" w:cs="Times New Roman"/>
                <w:sz w:val="26"/>
                <w:szCs w:val="26"/>
                <w:lang w:val="en-US"/>
              </w:rPr>
            </w:pPr>
          </w:p>
        </w:tc>
      </w:tr>
      <w:tr w:rsidR="00A83EE3">
        <w:trPr>
          <w:trHeight w:val="312"/>
        </w:trPr>
        <w:tc>
          <w:tcPr>
            <w:tcW w:w="1617" w:type="pct"/>
          </w:tcPr>
          <w:p w:rsidR="00A83EE3" w:rsidRDefault="00904E0F">
            <w:pPr>
              <w:spacing w:before="60" w:after="60" w:line="252" w:lineRule="auto"/>
              <w:rPr>
                <w:rFonts w:ascii="Times New Roman" w:hAnsi="Times New Roman" w:cs="Times New Roman"/>
                <w:b/>
                <w:i/>
                <w:sz w:val="26"/>
                <w:szCs w:val="26"/>
                <w:lang w:val="en-US"/>
              </w:rPr>
            </w:pPr>
            <w:r>
              <w:rPr>
                <w:rFonts w:ascii="Times New Roman" w:hAnsi="Times New Roman" w:cs="Times New Roman"/>
                <w:b/>
                <w:i/>
                <w:sz w:val="26"/>
                <w:szCs w:val="26"/>
                <w:lang w:val="en-US"/>
              </w:rPr>
              <w:t>1. Nghị định 89/2020/NĐ-CP ngày 08/4/2020 của Chính phủ</w:t>
            </w:r>
          </w:p>
          <w:p w:rsidR="00A83EE3" w:rsidRDefault="00904E0F">
            <w:pPr>
              <w:shd w:val="clear" w:color="auto" w:fill="FFFFFF"/>
              <w:spacing w:before="60" w:after="60" w:line="252" w:lineRule="auto"/>
              <w:rPr>
                <w:rFonts w:ascii="Times New Roman" w:eastAsia="Times New Roman" w:hAnsi="Times New Roman" w:cs="Times New Roman"/>
                <w:color w:val="000000"/>
                <w:sz w:val="26"/>
                <w:szCs w:val="26"/>
              </w:rPr>
            </w:pPr>
            <w:r>
              <w:rPr>
                <w:rFonts w:ascii="Times New Roman" w:hAnsi="Times New Roman" w:cs="Times New Roman"/>
                <w:color w:val="000000" w:themeColor="text1"/>
                <w:sz w:val="26"/>
                <w:szCs w:val="26"/>
                <w:lang w:val="pt-BR"/>
              </w:rPr>
              <w:t xml:space="preserve">Chương III, Khoản 1 Điều 11. Chế độ làm việc của Hội đồng quản lý quy định: </w:t>
            </w:r>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lang w:val="fr-FR"/>
              </w:rPr>
              <w:t>« 1. Hội đồng quản lý làm việc theo chế độ tập thể; họp thường kỳ 3 tháng một lần để xem xét và quyết định những vấn đề thuộc nhiệm vụ, quyền hạn quy định tại </w:t>
            </w:r>
            <w:bookmarkStart w:id="3" w:name="tc_4"/>
            <w:r>
              <w:rPr>
                <w:rFonts w:ascii="Times New Roman" w:eastAsia="Times New Roman" w:hAnsi="Times New Roman" w:cs="Times New Roman"/>
                <w:i/>
                <w:color w:val="0000FF"/>
                <w:sz w:val="26"/>
                <w:szCs w:val="26"/>
                <w:lang w:val="fr-FR"/>
              </w:rPr>
              <w:t>khoản 5 Điều 10 Nghị định này</w:t>
            </w:r>
            <w:bookmarkEnd w:id="3"/>
            <w:r>
              <w:rPr>
                <w:rFonts w:ascii="Times New Roman" w:eastAsia="Times New Roman" w:hAnsi="Times New Roman" w:cs="Times New Roman"/>
                <w:i/>
                <w:color w:val="000000"/>
                <w:sz w:val="26"/>
                <w:szCs w:val="26"/>
                <w:lang w:val="fr-FR"/>
              </w:rPr>
              <w:t>. Đối với một số vấn đề không nhất thiết phải thảo luận tại cuộc họp thì Chủ tịch Hội đồng quản lý gửi văn bản lấy ý kiến từng thành viên Hội đồng quản lý. Hội đồng quản lý có thể họp bất thường để giải quyết những vấn đề cấp bách khi Chủ tịch Hội đồng quản lý hoặc Tổng Giám đốc hoặc trên 50% tổng số thành viên Hội đồng quản lý đề nghị.</w:t>
            </w:r>
          </w:p>
          <w:p w:rsidR="00A83EE3" w:rsidRDefault="00A83EE3">
            <w:pPr>
              <w:spacing w:before="60" w:after="60" w:line="252" w:lineRule="auto"/>
              <w:rPr>
                <w:rFonts w:ascii="Times New Roman" w:hAnsi="Times New Roman" w:cs="Times New Roman"/>
                <w:color w:val="000000" w:themeColor="text1"/>
                <w:sz w:val="26"/>
                <w:szCs w:val="26"/>
                <w:lang w:val="pt-BR"/>
              </w:rPr>
            </w:pPr>
          </w:p>
        </w:tc>
        <w:tc>
          <w:tcPr>
            <w:tcW w:w="1616" w:type="pct"/>
            <w:shd w:val="clear" w:color="auto" w:fill="auto"/>
            <w:vAlign w:val="center"/>
          </w:tcPr>
          <w:p w:rsidR="00A83EE3" w:rsidRDefault="00904E0F">
            <w:pPr>
              <w:pStyle w:val="ListParagraph"/>
              <w:numPr>
                <w:ilvl w:val="0"/>
                <w:numId w:val="2"/>
              </w:numPr>
              <w:spacing w:before="60" w:after="60" w:line="252" w:lineRule="auto"/>
              <w:ind w:left="266" w:hanging="266"/>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 xml:space="preserve">Hội đồng quản lý làm việc theo chế độ tập thể; họp thường kỳ </w:t>
            </w:r>
            <w:r>
              <w:rPr>
                <w:rFonts w:ascii="Times New Roman" w:hAnsi="Times New Roman" w:cs="Times New Roman"/>
                <w:color w:val="000000" w:themeColor="text1"/>
                <w:sz w:val="26"/>
                <w:szCs w:val="26"/>
              </w:rPr>
              <w:t>0</w:t>
            </w:r>
            <w:r>
              <w:rPr>
                <w:rFonts w:ascii="Times New Roman" w:hAnsi="Times New Roman" w:cs="Times New Roman"/>
                <w:color w:val="000000" w:themeColor="text1"/>
                <w:sz w:val="26"/>
                <w:szCs w:val="26"/>
                <w:lang w:val="pt-BR"/>
              </w:rPr>
              <w:t xml:space="preserve">3 tháng một lần để xem xét và quyết định những vấn đề thuộc nhiệm vụ, quyền hạn, </w:t>
            </w:r>
            <w:r>
              <w:rPr>
                <w:rFonts w:ascii="Times New Roman" w:hAnsi="Times New Roman" w:cs="Times New Roman"/>
                <w:b/>
                <w:color w:val="000000" w:themeColor="text1"/>
                <w:sz w:val="26"/>
                <w:szCs w:val="26"/>
                <w:lang w:val="pt-BR"/>
              </w:rPr>
              <w:t>trách nhiệm</w:t>
            </w:r>
            <w:r>
              <w:rPr>
                <w:rFonts w:ascii="Times New Roman" w:hAnsi="Times New Roman" w:cs="Times New Roman"/>
                <w:color w:val="000000" w:themeColor="text1"/>
                <w:sz w:val="26"/>
                <w:szCs w:val="26"/>
                <w:lang w:val="pt-BR"/>
              </w:rPr>
              <w:t xml:space="preserve"> quy định tại </w:t>
            </w:r>
            <w:r>
              <w:rPr>
                <w:rFonts w:ascii="Times New Roman" w:hAnsi="Times New Roman" w:cs="Times New Roman"/>
                <w:b/>
                <w:color w:val="000000" w:themeColor="text1"/>
                <w:sz w:val="26"/>
                <w:szCs w:val="26"/>
                <w:lang w:val="pt-BR"/>
              </w:rPr>
              <w:t>Điều 2 Nghị định này</w:t>
            </w:r>
            <w:r>
              <w:rPr>
                <w:rFonts w:ascii="Times New Roman" w:hAnsi="Times New Roman" w:cs="Times New Roman"/>
                <w:color w:val="000000" w:themeColor="text1"/>
                <w:sz w:val="26"/>
                <w:szCs w:val="26"/>
                <w:lang w:val="pt-BR"/>
              </w:rPr>
              <w:t xml:space="preserve">. Đối với một số vấn đề không nhất thiết phải thảo luận tại cuộc họp thì Chủ tịch Hội đồng quản lý gửi văn bản lấy ý kiến từng thành viên Hội đồng quản lý. Hội đồng quản lý có thể họp bất thường để giải quyết những vấn đề cấp bách khi Chủ tịch hoặc </w:t>
            </w:r>
            <w:r>
              <w:rPr>
                <w:rFonts w:ascii="Times New Roman" w:hAnsi="Times New Roman" w:cs="Times New Roman"/>
                <w:b/>
                <w:color w:val="000000" w:themeColor="text1"/>
                <w:sz w:val="26"/>
                <w:szCs w:val="26"/>
                <w:lang w:val="pt-BR"/>
              </w:rPr>
              <w:t>Phó Chủ tịch chuyên trách</w:t>
            </w:r>
            <w:r>
              <w:rPr>
                <w:rFonts w:ascii="Times New Roman" w:hAnsi="Times New Roman" w:cs="Times New Roman"/>
                <w:color w:val="000000" w:themeColor="text1"/>
                <w:sz w:val="26"/>
                <w:szCs w:val="26"/>
                <w:lang w:val="pt-BR"/>
              </w:rPr>
              <w:t xml:space="preserve"> Hội đồng quản lý hoặc trên 50% tổng số thành viên Hội đồng quản lý đề nghị.</w:t>
            </w:r>
          </w:p>
          <w:p w:rsidR="00A83EE3" w:rsidRDefault="00A83EE3">
            <w:pPr>
              <w:spacing w:before="60" w:after="60" w:line="252" w:lineRule="auto"/>
              <w:rPr>
                <w:rFonts w:ascii="Times New Roman" w:hAnsi="Times New Roman" w:cs="Times New Roman"/>
                <w:color w:val="000000" w:themeColor="text1"/>
                <w:sz w:val="26"/>
                <w:szCs w:val="26"/>
                <w:lang w:val="pt-BR"/>
              </w:rPr>
            </w:pPr>
          </w:p>
        </w:tc>
        <w:tc>
          <w:tcPr>
            <w:tcW w:w="1765" w:type="pct"/>
            <w:vAlign w:val="center"/>
          </w:tcPr>
          <w:p w:rsidR="00A83EE3" w:rsidRDefault="00904E0F">
            <w:pPr>
              <w:spacing w:before="60" w:after="60" w:line="252"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Kế thừa từ quy định đã có trong Nghị định số 89/2020/NĐ-CP và cập nhật, sửa đổi một số điểm để phù hợp với các nội dung liên quan có quy định tại Nghị định. </w:t>
            </w:r>
          </w:p>
          <w:p w:rsidR="00A83EE3" w:rsidRDefault="00A83EE3">
            <w:pPr>
              <w:spacing w:before="60" w:after="60" w:line="252" w:lineRule="auto"/>
              <w:rPr>
                <w:rFonts w:ascii="Times New Roman" w:hAnsi="Times New Roman" w:cs="Times New Roman"/>
                <w:sz w:val="26"/>
                <w:szCs w:val="26"/>
              </w:rPr>
            </w:pPr>
          </w:p>
          <w:p w:rsidR="00A83EE3" w:rsidRDefault="00904E0F">
            <w:pPr>
              <w:spacing w:before="60" w:after="60" w:line="252" w:lineRule="auto"/>
              <w:ind w:firstLineChars="250" w:firstLine="650"/>
              <w:rPr>
                <w:rFonts w:ascii="Times New Roman" w:hAnsi="Times New Roman" w:cs="Times New Roman"/>
                <w:sz w:val="26"/>
                <w:szCs w:val="26"/>
              </w:rPr>
            </w:pPr>
            <w:r>
              <w:rPr>
                <w:rFonts w:ascii="Times New Roman" w:hAnsi="Times New Roman" w:cs="Times New Roman"/>
                <w:sz w:val="26"/>
                <w:szCs w:val="26"/>
              </w:rPr>
              <w:t xml:space="preserve">Hiện tại, </w:t>
            </w:r>
            <w:r>
              <w:rPr>
                <w:rFonts w:ascii="Times New Roman" w:hAnsi="Times New Roman" w:cs="Times New Roman"/>
                <w:iCs/>
                <w:sz w:val="26"/>
                <w:szCs w:val="26"/>
                <w:lang w:val="pt-BR"/>
              </w:rPr>
              <w:t xml:space="preserve">Quy chế làm việc quy định về hoạt động của Hội đồng quản lý; nhiệm vụ quyền hạn của Chủ tịch, các Phó Chủ tịch, các Ủy viên Hội đồng quản lý và các đơn vị, cán bộ, công chức, viên chức giúp việc thành viên Hội đồng quản lý được </w:t>
            </w:r>
            <w:r>
              <w:rPr>
                <w:rFonts w:ascii="Times New Roman" w:hAnsi="Times New Roman" w:cs="Times New Roman"/>
                <w:sz w:val="26"/>
                <w:szCs w:val="26"/>
              </w:rPr>
              <w:t xml:space="preserve">Hội đồng quản lý quy định và ban hành tại </w:t>
            </w:r>
            <w:r>
              <w:rPr>
                <w:rFonts w:ascii="Times New Roman" w:hAnsi="Times New Roman" w:cs="Times New Roman"/>
                <w:iCs/>
                <w:sz w:val="26"/>
                <w:szCs w:val="26"/>
                <w:lang w:val="pt-BR"/>
              </w:rPr>
              <w:t xml:space="preserve">Nghị </w:t>
            </w:r>
            <w:r>
              <w:rPr>
                <w:rFonts w:ascii="Times New Roman" w:hAnsi="Times New Roman" w:cs="Times New Roman"/>
                <w:iCs/>
                <w:sz w:val="26"/>
                <w:szCs w:val="26"/>
              </w:rPr>
              <w:t>q</w:t>
            </w:r>
            <w:r>
              <w:rPr>
                <w:rFonts w:ascii="Times New Roman" w:hAnsi="Times New Roman" w:cs="Times New Roman"/>
                <w:iCs/>
                <w:sz w:val="26"/>
                <w:szCs w:val="26"/>
                <w:lang w:val="pt-BR"/>
              </w:rPr>
              <w:t xml:space="preserve">uyết số 2919/NQ-HĐQL ngày 17/9/2021 và </w:t>
            </w:r>
            <w:r>
              <w:rPr>
                <w:rFonts w:ascii="Times New Roman" w:hAnsi="Times New Roman" w:cs="Times New Roman"/>
                <w:sz w:val="26"/>
                <w:szCs w:val="26"/>
              </w:rPr>
              <w:t xml:space="preserve">Nghị quyết số 393/NQ-HĐQL ngày 22/02/2021. </w:t>
            </w:r>
          </w:p>
          <w:p w:rsidR="00A83EE3" w:rsidRDefault="00904E0F">
            <w:pPr>
              <w:spacing w:before="60" w:after="60" w:line="252" w:lineRule="auto"/>
              <w:ind w:firstLine="709"/>
              <w:rPr>
                <w:rFonts w:ascii="Times New Roman" w:hAnsi="Times New Roman" w:cs="Times New Roman"/>
                <w:iCs/>
                <w:sz w:val="26"/>
                <w:szCs w:val="26"/>
                <w:lang w:val="pt-BR"/>
              </w:rPr>
            </w:pPr>
            <w:r>
              <w:rPr>
                <w:rFonts w:ascii="Times New Roman" w:hAnsi="Times New Roman" w:cs="Times New Roman"/>
                <w:iCs/>
                <w:sz w:val="26"/>
                <w:szCs w:val="26"/>
                <w:lang w:val="pt-BR"/>
              </w:rPr>
              <w:t>Trong quá trình rà soát, chỉnh lý dự thảo Luật bảo hiểm xã hội (sửa đổi), nhiều nội dung quy định tại Quy chế làm việc của Hội đồng</w:t>
            </w:r>
            <w:r>
              <w:rPr>
                <w:rFonts w:ascii="Times New Roman" w:hAnsi="Times New Roman" w:cs="Times New Roman"/>
                <w:iCs/>
                <w:sz w:val="26"/>
                <w:szCs w:val="26"/>
                <w:lang w:val="en-US"/>
              </w:rPr>
              <w:t xml:space="preserve"> quản lý </w:t>
            </w:r>
            <w:r>
              <w:rPr>
                <w:rFonts w:ascii="Times New Roman" w:hAnsi="Times New Roman" w:cs="Times New Roman"/>
                <w:iCs/>
                <w:sz w:val="26"/>
                <w:szCs w:val="26"/>
                <w:lang w:val="pt-BR"/>
              </w:rPr>
              <w:t xml:space="preserve">đã được các cơ quan chức năng của Quốc hội xem xét và đề nghị bổ sung, nâng cấp đưa vào Luật định. Đồng thời tiếp tục giao Chính phủ cụ thể hóa chế độ làm việc của Hội đồng tại Nghị định này. </w:t>
            </w:r>
          </w:p>
          <w:p w:rsidR="00A83EE3" w:rsidRDefault="00904E0F">
            <w:pPr>
              <w:spacing w:before="60" w:after="60" w:line="252" w:lineRule="auto"/>
              <w:ind w:firstLine="709"/>
              <w:rPr>
                <w:rFonts w:ascii="Times New Roman" w:hAnsi="Times New Roman" w:cs="Times New Roman"/>
                <w:iCs/>
                <w:sz w:val="26"/>
                <w:szCs w:val="26"/>
                <w:lang w:val="pt-BR"/>
              </w:rPr>
            </w:pPr>
            <w:r>
              <w:rPr>
                <w:rFonts w:ascii="Times New Roman" w:hAnsi="Times New Roman" w:cs="Times New Roman"/>
                <w:iCs/>
                <w:sz w:val="26"/>
                <w:szCs w:val="26"/>
                <w:lang w:val="pt-BR"/>
              </w:rPr>
              <w:t>Do vậy, một số nội dung của Quy chế tổ chức hoạt động và làm việc của Hội đồng</w:t>
            </w:r>
            <w:r>
              <w:rPr>
                <w:rFonts w:ascii="Times New Roman" w:hAnsi="Times New Roman" w:cs="Times New Roman"/>
                <w:iCs/>
                <w:sz w:val="26"/>
                <w:szCs w:val="26"/>
                <w:lang w:val="en-US"/>
              </w:rPr>
              <w:t xml:space="preserve"> quản lý</w:t>
            </w:r>
            <w:r>
              <w:rPr>
                <w:rFonts w:ascii="Times New Roman" w:hAnsi="Times New Roman" w:cs="Times New Roman"/>
                <w:iCs/>
                <w:sz w:val="26"/>
                <w:szCs w:val="26"/>
                <w:lang w:val="pt-BR"/>
              </w:rPr>
              <w:t xml:space="preserve"> sẽ cần phải đưa vào quy định trực tiếp tại Nghị định, như các quy định hiện đang đề xuất tại Điều 5, Điều 6 của Nghị định. </w:t>
            </w:r>
          </w:p>
          <w:p w:rsidR="00A83EE3" w:rsidRDefault="00904E0F">
            <w:pPr>
              <w:spacing w:before="60" w:after="60" w:line="252" w:lineRule="auto"/>
              <w:ind w:firstLine="709"/>
              <w:rPr>
                <w:rFonts w:ascii="Times New Roman" w:hAnsi="Times New Roman" w:cs="Times New Roman"/>
                <w:iCs/>
                <w:sz w:val="26"/>
                <w:szCs w:val="26"/>
                <w:lang w:val="pt-BR"/>
              </w:rPr>
            </w:pPr>
            <w:r>
              <w:rPr>
                <w:rFonts w:ascii="Times New Roman" w:hAnsi="Times New Roman" w:cs="Times New Roman"/>
                <w:iCs/>
                <w:sz w:val="26"/>
                <w:szCs w:val="26"/>
                <w:lang w:val="pt-BR"/>
              </w:rPr>
              <w:lastRenderedPageBreak/>
              <w:t>Tuy nhiên, đối với một số quy định chi tiết khác cần</w:t>
            </w:r>
            <w:r>
              <w:rPr>
                <w:rFonts w:ascii="Times New Roman" w:hAnsi="Times New Roman" w:cs="Times New Roman"/>
                <w:iCs/>
                <w:sz w:val="26"/>
                <w:szCs w:val="26"/>
                <w:lang w:val="en-US"/>
              </w:rPr>
              <w:t xml:space="preserve"> tiếp tục</w:t>
            </w:r>
            <w:r>
              <w:rPr>
                <w:rFonts w:ascii="Times New Roman" w:hAnsi="Times New Roman" w:cs="Times New Roman"/>
                <w:iCs/>
                <w:sz w:val="26"/>
                <w:szCs w:val="26"/>
                <w:lang w:val="pt-BR"/>
              </w:rPr>
              <w:t xml:space="preserve"> được làm rõ trong Quy chế làm việc của Hội đồng do Chủ tịch Hội đồng</w:t>
            </w:r>
            <w:r>
              <w:rPr>
                <w:rFonts w:ascii="Times New Roman" w:hAnsi="Times New Roman" w:cs="Times New Roman"/>
                <w:iCs/>
                <w:sz w:val="26"/>
                <w:szCs w:val="26"/>
                <w:lang w:val="en-US"/>
              </w:rPr>
              <w:t xml:space="preserve"> quản lý </w:t>
            </w:r>
            <w:r>
              <w:rPr>
                <w:rFonts w:ascii="Times New Roman" w:hAnsi="Times New Roman" w:cs="Times New Roman"/>
                <w:sz w:val="26"/>
                <w:szCs w:val="26"/>
              </w:rPr>
              <w:t xml:space="preserve">ban hành trên cơ sở đề xuất của Chánh Văn phòng giúp việc Hội đồng </w:t>
            </w:r>
            <w:r>
              <w:rPr>
                <w:rFonts w:ascii="Times New Roman" w:hAnsi="Times New Roman" w:cs="Times New Roman"/>
                <w:sz w:val="26"/>
                <w:szCs w:val="26"/>
                <w:lang w:val="en-US"/>
              </w:rPr>
              <w:t xml:space="preserve">quản lý </w:t>
            </w:r>
            <w:r>
              <w:rPr>
                <w:rFonts w:ascii="Times New Roman" w:hAnsi="Times New Roman" w:cs="Times New Roman"/>
                <w:sz w:val="26"/>
                <w:szCs w:val="26"/>
              </w:rPr>
              <w:t>và có sự thảo luận, thống nhất của các thành viên Hội đồng quản lý. Do vậy, t</w:t>
            </w:r>
            <w:r>
              <w:rPr>
                <w:rFonts w:ascii="Times New Roman" w:hAnsi="Times New Roman" w:cs="Times New Roman"/>
                <w:iCs/>
                <w:sz w:val="26"/>
                <w:szCs w:val="26"/>
                <w:lang w:val="pt-BR"/>
              </w:rPr>
              <w:t xml:space="preserve">iếp thu ý kiến của thành viên Ban soạn thảo, Tổ biên tập, Vụ Bảo hiểm xã hội đã bổ sung làm rõ nội dung liên quan này tại khoản 10 Điều 5 dự thảo Nghị định cụ thể: </w:t>
            </w:r>
          </w:p>
          <w:p w:rsidR="00A83EE3" w:rsidRDefault="00904E0F">
            <w:pPr>
              <w:spacing w:before="60" w:after="60" w:line="252" w:lineRule="auto"/>
              <w:rPr>
                <w:rFonts w:ascii="Times New Roman" w:hAnsi="Times New Roman" w:cs="Times New Roman"/>
                <w:sz w:val="26"/>
                <w:szCs w:val="26"/>
                <w:lang w:val="en-US"/>
              </w:rPr>
            </w:pPr>
            <w:r>
              <w:rPr>
                <w:rFonts w:ascii="Times New Roman" w:hAnsi="Times New Roman" w:cs="Times New Roman"/>
                <w:i/>
                <w:color w:val="000000" w:themeColor="text1"/>
                <w:sz w:val="26"/>
                <w:szCs w:val="26"/>
                <w:lang w:val="pt-BR"/>
              </w:rPr>
              <w:t xml:space="preserve">“10. Chủ tịch Hội đồng quản lý có trách nhiệm xây dựng, ban hành Quy chế làm việc của Hội đồng quản lý; quy chế chi tiêu nội bộ và các quy chế khác phù hợp với quy định pháp luật; quy chế tổ chức và hoạt động của các tổ chức giúp việc của Hội đồng quản lý.”. </w:t>
            </w:r>
          </w:p>
        </w:tc>
      </w:tr>
      <w:tr w:rsidR="00A83EE3">
        <w:trPr>
          <w:trHeight w:val="312"/>
        </w:trPr>
        <w:tc>
          <w:tcPr>
            <w:tcW w:w="1617" w:type="pct"/>
          </w:tcPr>
          <w:p w:rsidR="00A83EE3" w:rsidRDefault="00904E0F">
            <w:pPr>
              <w:spacing w:before="60" w:after="60" w:line="252" w:lineRule="auto"/>
              <w:rPr>
                <w:rFonts w:ascii="Times New Roman" w:hAnsi="Times New Roman" w:cs="Times New Roman"/>
                <w:b/>
                <w:i/>
                <w:sz w:val="26"/>
                <w:szCs w:val="26"/>
                <w:lang w:val="en-US"/>
              </w:rPr>
            </w:pPr>
            <w:r>
              <w:rPr>
                <w:rFonts w:ascii="Times New Roman" w:hAnsi="Times New Roman" w:cs="Times New Roman"/>
                <w:b/>
                <w:i/>
                <w:sz w:val="26"/>
                <w:szCs w:val="26"/>
                <w:lang w:val="en-US"/>
              </w:rPr>
              <w:lastRenderedPageBreak/>
              <w:t>1. Nghị định 89/2020/NĐ-CP ngày 08/4/2020 của Chính phủ</w:t>
            </w:r>
          </w:p>
          <w:p w:rsidR="00A83EE3" w:rsidRDefault="00904E0F">
            <w:pPr>
              <w:shd w:val="clear" w:color="auto" w:fill="FFFFFF"/>
              <w:spacing w:before="60" w:after="60" w:line="252" w:lineRule="auto"/>
              <w:rPr>
                <w:rFonts w:ascii="Times New Roman" w:eastAsia="Times New Roman" w:hAnsi="Times New Roman" w:cs="Times New Roman"/>
                <w:color w:val="000000"/>
                <w:sz w:val="26"/>
                <w:szCs w:val="26"/>
              </w:rPr>
            </w:pPr>
            <w:r>
              <w:rPr>
                <w:rFonts w:ascii="Times New Roman" w:hAnsi="Times New Roman" w:cs="Times New Roman"/>
                <w:color w:val="000000" w:themeColor="text1"/>
                <w:sz w:val="26"/>
                <w:szCs w:val="26"/>
                <w:lang w:val="pt-BR"/>
              </w:rPr>
              <w:t xml:space="preserve">Chương III, Khoản 2 và khoản 4 Điều 11. Chế độ làm việc của Hội đồng quản lý quy định: </w:t>
            </w:r>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lang w:val="fr-FR"/>
              </w:rPr>
            </w:pPr>
            <w:r>
              <w:rPr>
                <w:rFonts w:ascii="Times New Roman" w:eastAsia="Times New Roman" w:hAnsi="Times New Roman" w:cs="Times New Roman"/>
                <w:i/>
                <w:color w:val="000000"/>
                <w:sz w:val="26"/>
                <w:szCs w:val="26"/>
                <w:lang w:val="fr-FR"/>
              </w:rPr>
              <w:t xml:space="preserve">« 2. Chủ tịch Hội đồng quản lý hoặc Phó Chủ tịch Hội đồng quản lý được Chủ tịch Hội đồng quản lý ủy quyền có trách nhiệm triệu tập và chủ trì cuộc họp của Hội đồng quản lý. Nội dung và các tài liệu cuộc họp phải gửi đến các thành viên Hội đồng quản lý trước ngày họp ít nhất là 5 ngày làm việc. Các thành viên Hội đồng quản lý có trách nhiệm </w:t>
            </w:r>
            <w:r>
              <w:rPr>
                <w:rFonts w:ascii="Times New Roman" w:eastAsia="Times New Roman" w:hAnsi="Times New Roman" w:cs="Times New Roman"/>
                <w:i/>
                <w:color w:val="000000"/>
                <w:sz w:val="26"/>
                <w:szCs w:val="26"/>
                <w:lang w:val="fr-FR"/>
              </w:rPr>
              <w:lastRenderedPageBreak/>
              <w:t>nghiên cứu, chuẩn bị để đóng góp ý kiến vào quá trình thảo luận và ra Nghị quyết của Hội đồng quản lý. </w:t>
            </w:r>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lang w:val="fr-FR"/>
              </w:rPr>
            </w:pPr>
            <w:r>
              <w:rPr>
                <w:rFonts w:ascii="Times New Roman" w:eastAsia="Times New Roman" w:hAnsi="Times New Roman" w:cs="Times New Roman"/>
                <w:i/>
                <w:color w:val="000000"/>
                <w:sz w:val="26"/>
                <w:szCs w:val="26"/>
                <w:lang w:val="fr-FR"/>
              </w:rPr>
              <w:t>4. Khi bàn về nội dung công việc liên quan đến các bộ, ngành và các đơn vị thuộc Bảo hiểm xã hội Việt Nam thì Hội đồng quản lý mời lãnh đạo bộ, ngành đó và Thủ trưởng đơn vị thuộc Bảo hiểm xã hội Việt Nam dự họp. Lãnh đạo các cơ quan, đơn vị liên quan được mời dự họp có quyền được phát biểu ý kiến, nhưng không tham gia biểu quyết. »</w:t>
            </w:r>
          </w:p>
        </w:tc>
        <w:tc>
          <w:tcPr>
            <w:tcW w:w="1616" w:type="pct"/>
            <w:shd w:val="clear" w:color="auto" w:fill="auto"/>
            <w:vAlign w:val="center"/>
          </w:tcPr>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lastRenderedPageBreak/>
              <w:t>2. Chủ tịch Hội đồng quản lý hoặc Phó Chủ tịch chuyên trách Hội đồng quản lý được Chủ tịch Hội đồng uỷ quyền có trách nhiệm triệu tập và chủ trì cuộc họp của Hội đồng quản lý, chỉ đạo việc việc chuẩn bị nội dung và tài liệu phục vụ cuộc họp. Nội dung và các tài liệu cuộc họp phải được gửi đến các thành viên Hội đồng trước ngày họp ít nhất là 05 ngày làm việc. Các thành viên Hội đồng quản lý có trách nhiệm nghiên cứu, chuẩn bị để đóng góp ý kiến vào quá trình thảo luận và ban hành Nghị quyết của Hội đồng quản lý.</w:t>
            </w:r>
            <w:r>
              <w:rPr>
                <w:rFonts w:ascii="Times New Roman" w:hAnsi="Times New Roman" w:cs="Times New Roman"/>
                <w:sz w:val="26"/>
                <w:szCs w:val="26"/>
              </w:rPr>
              <w:t xml:space="preserve"> </w:t>
            </w:r>
            <w:r>
              <w:rPr>
                <w:rFonts w:ascii="Times New Roman" w:hAnsi="Times New Roman" w:cs="Times New Roman"/>
                <w:b/>
                <w:sz w:val="26"/>
                <w:szCs w:val="26"/>
              </w:rPr>
              <w:t xml:space="preserve">Trường hợp cần thiết, căn cứ vào tình hình thực tế và nội dung họp đối với một </w:t>
            </w:r>
            <w:r>
              <w:rPr>
                <w:rFonts w:ascii="Times New Roman" w:hAnsi="Times New Roman" w:cs="Times New Roman"/>
                <w:b/>
                <w:sz w:val="26"/>
                <w:szCs w:val="26"/>
              </w:rPr>
              <w:lastRenderedPageBreak/>
              <w:t>số vấn đề cụ th</w:t>
            </w:r>
            <w:r>
              <w:rPr>
                <w:rFonts w:ascii="Times New Roman" w:hAnsi="Times New Roman" w:cs="Times New Roman"/>
                <w:b/>
                <w:color w:val="000000" w:themeColor="text1"/>
                <w:sz w:val="26"/>
                <w:szCs w:val="26"/>
              </w:rPr>
              <w:t xml:space="preserve">ể, Chủ tịch Hội đồng quản lý có thể mời thêm </w:t>
            </w:r>
            <w:r>
              <w:rPr>
                <w:rFonts w:ascii="Times New Roman" w:hAnsi="Times New Roman" w:cs="Times New Roman"/>
                <w:b/>
                <w:color w:val="000000" w:themeColor="text1"/>
                <w:sz w:val="26"/>
                <w:szCs w:val="26"/>
                <w:lang w:val="en-US"/>
              </w:rPr>
              <w:t xml:space="preserve">đại diện lãnh đạo một số cơ quan, đơn vị có liên quan hoặc </w:t>
            </w:r>
            <w:r>
              <w:rPr>
                <w:rFonts w:ascii="Times New Roman" w:hAnsi="Times New Roman" w:cs="Times New Roman"/>
                <w:b/>
                <w:color w:val="000000" w:themeColor="text1"/>
                <w:sz w:val="26"/>
                <w:szCs w:val="26"/>
              </w:rPr>
              <w:t xml:space="preserve">một số chuyên gia </w:t>
            </w:r>
            <w:r>
              <w:rPr>
                <w:rFonts w:ascii="Times New Roman" w:hAnsi="Times New Roman" w:cs="Times New Roman"/>
                <w:b/>
                <w:sz w:val="26"/>
                <w:szCs w:val="26"/>
              </w:rPr>
              <w:t xml:space="preserve">phù hợp tham gia phiên họp về nội dung cụ thể đó, </w:t>
            </w:r>
            <w:r>
              <w:rPr>
                <w:rFonts w:ascii="Times New Roman" w:hAnsi="Times New Roman" w:cs="Times New Roman"/>
                <w:sz w:val="26"/>
                <w:szCs w:val="26"/>
              </w:rPr>
              <w:t>thành viên được mời tham gia có quyền phát biểu ý kiến nhưng không có quyền tham gia biểu quyết.</w:t>
            </w:r>
          </w:p>
        </w:tc>
        <w:tc>
          <w:tcPr>
            <w:tcW w:w="1765" w:type="pct"/>
            <w:vAlign w:val="center"/>
          </w:tcPr>
          <w:p w:rsidR="00A83EE3" w:rsidRDefault="00904E0F">
            <w:pPr>
              <w:spacing w:before="60" w:after="60" w:line="252"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Kế thừa quy định hiện có trong Nghị định số 89/2020/NĐ-CP. </w:t>
            </w:r>
          </w:p>
        </w:tc>
      </w:tr>
      <w:tr w:rsidR="00A83EE3">
        <w:trPr>
          <w:trHeight w:val="312"/>
        </w:trPr>
        <w:tc>
          <w:tcPr>
            <w:tcW w:w="1617" w:type="pct"/>
          </w:tcPr>
          <w:p w:rsidR="00A83EE3" w:rsidRDefault="00904E0F">
            <w:pPr>
              <w:spacing w:before="60" w:after="60" w:line="252" w:lineRule="auto"/>
              <w:rPr>
                <w:rFonts w:ascii="Times New Roman" w:hAnsi="Times New Roman" w:cs="Times New Roman"/>
                <w:b/>
                <w:i/>
                <w:sz w:val="26"/>
                <w:szCs w:val="26"/>
                <w:lang w:val="en-US"/>
              </w:rPr>
            </w:pPr>
            <w:r>
              <w:rPr>
                <w:rFonts w:ascii="Times New Roman" w:hAnsi="Times New Roman" w:cs="Times New Roman"/>
                <w:b/>
                <w:i/>
                <w:sz w:val="26"/>
                <w:szCs w:val="26"/>
                <w:lang w:val="en-US"/>
              </w:rPr>
              <w:lastRenderedPageBreak/>
              <w:t>1. Nghị định 89/2020/NĐ-CP ngày 08/4/2020 của Chính phủ</w:t>
            </w:r>
          </w:p>
          <w:p w:rsidR="00A83EE3" w:rsidRDefault="00904E0F">
            <w:pPr>
              <w:shd w:val="clear" w:color="auto" w:fill="FFFFFF"/>
              <w:spacing w:before="60" w:after="60" w:line="252" w:lineRule="auto"/>
              <w:rPr>
                <w:rFonts w:ascii="Times New Roman" w:eastAsia="Times New Roman" w:hAnsi="Times New Roman" w:cs="Times New Roman"/>
                <w:color w:val="000000"/>
                <w:sz w:val="26"/>
                <w:szCs w:val="26"/>
              </w:rPr>
            </w:pPr>
            <w:r>
              <w:rPr>
                <w:rFonts w:ascii="Times New Roman" w:hAnsi="Times New Roman" w:cs="Times New Roman"/>
                <w:color w:val="000000" w:themeColor="text1"/>
                <w:sz w:val="26"/>
                <w:szCs w:val="26"/>
                <w:lang w:val="pt-BR"/>
              </w:rPr>
              <w:t xml:space="preserve">Chương III, Khoản 3 Điều 11. Chế độ làm việc của Hội đồng quản lý quy định: </w:t>
            </w:r>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lang w:val="fr-FR"/>
              </w:rPr>
              <w:t xml:space="preserve">« 3. Cuộc họp của Hội đồng quản lý được tiến hành khi có ít nhất hai phần ba thành viên Hội đồng quản lý tham dự. Nghị quyết của Hội đồng quản lý phải được trên 50% tổng số thành viên Hội đồng quản lý biểu quyết tán thành. Đối với các thành viên vắng mặt được gửi lấy ý kiến tham gia bằng văn bản. Trường hợp số thành viên biểu quyết đồng ý và không đồng ý bằng nhau thì quyết định theo ý kiến của Chủ tịch Hội đồng quản lý. Những vấn đề chưa thống nhất ý kiến giữa các thành viên Hội đồng quản lý thì Chủ tịch Hội đồng quản lý báo cáo Thủ tướng Chính </w:t>
            </w:r>
            <w:r>
              <w:rPr>
                <w:rFonts w:ascii="Times New Roman" w:eastAsia="Times New Roman" w:hAnsi="Times New Roman" w:cs="Times New Roman"/>
                <w:i/>
                <w:color w:val="000000"/>
                <w:sz w:val="26"/>
                <w:szCs w:val="26"/>
                <w:lang w:val="fr-FR"/>
              </w:rPr>
              <w:lastRenderedPageBreak/>
              <w:t>phủ quyết định. Thành viên Hội đồng quản lý có quyền bảo lưu ý kiến của mình.</w:t>
            </w:r>
          </w:p>
        </w:tc>
        <w:tc>
          <w:tcPr>
            <w:tcW w:w="1616" w:type="pct"/>
            <w:shd w:val="clear" w:color="auto" w:fill="auto"/>
            <w:vAlign w:val="center"/>
          </w:tcPr>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lastRenderedPageBreak/>
              <w:t xml:space="preserve">3. Cuộc họp của Hội đồng quản lý được tiến hành khi có ít nhất hai phần ba </w:t>
            </w:r>
            <w:r>
              <w:rPr>
                <w:rFonts w:ascii="Times New Roman" w:hAnsi="Times New Roman" w:cs="Times New Roman"/>
                <w:b/>
                <w:color w:val="000000" w:themeColor="text1"/>
                <w:sz w:val="26"/>
                <w:szCs w:val="26"/>
                <w:lang w:val="pt-BR"/>
              </w:rPr>
              <w:t>(2/3</w:t>
            </w:r>
            <w:r>
              <w:rPr>
                <w:rFonts w:ascii="Times New Roman" w:hAnsi="Times New Roman" w:cs="Times New Roman"/>
                <w:color w:val="000000" w:themeColor="text1"/>
                <w:sz w:val="26"/>
                <w:szCs w:val="26"/>
                <w:lang w:val="pt-BR"/>
              </w:rPr>
              <w:t xml:space="preserve">) số thành viên Hội đồng quản lý tham dự. Nghị quyết của Hội đồng quản lý phải được trên 50% tổng số thành viên Hội đồng quản lý đồng ý thông qua. Đối với các thành viên vắng mặt được gửi lấy ý kiến tham gia bằng văn bản. Trường hợp số thành viên biểu quyết đồng ý và không đồng ý bằng nhau thì quyết định theo ý kiến của Chủ tịch Hội đồng quản lý. Thành viên Hội đồng quản lý </w:t>
            </w:r>
            <w:r>
              <w:rPr>
                <w:rFonts w:ascii="Times New Roman" w:hAnsi="Times New Roman" w:cs="Times New Roman"/>
                <w:b/>
                <w:color w:val="000000" w:themeColor="text1"/>
                <w:sz w:val="26"/>
                <w:szCs w:val="26"/>
                <w:lang w:val="pt-BR"/>
              </w:rPr>
              <w:t>chịu trách nhiệm cá nhân</w:t>
            </w:r>
            <w:r>
              <w:rPr>
                <w:rFonts w:ascii="Times New Roman" w:hAnsi="Times New Roman" w:cs="Times New Roman"/>
                <w:color w:val="000000" w:themeColor="text1"/>
                <w:sz w:val="26"/>
                <w:szCs w:val="26"/>
                <w:lang w:val="pt-BR"/>
              </w:rPr>
              <w:t xml:space="preserve">, bảo lưu </w:t>
            </w:r>
            <w:r>
              <w:rPr>
                <w:rFonts w:ascii="Times New Roman" w:hAnsi="Times New Roman" w:cs="Times New Roman"/>
                <w:b/>
                <w:color w:val="000000" w:themeColor="text1"/>
                <w:sz w:val="26"/>
                <w:szCs w:val="26"/>
                <w:lang w:val="pt-BR"/>
              </w:rPr>
              <w:t>về quyết định</w:t>
            </w:r>
            <w:r>
              <w:rPr>
                <w:rFonts w:ascii="Times New Roman" w:hAnsi="Times New Roman" w:cs="Times New Roman"/>
                <w:color w:val="000000" w:themeColor="text1"/>
                <w:sz w:val="26"/>
                <w:szCs w:val="26"/>
                <w:lang w:val="pt-BR"/>
              </w:rPr>
              <w:t xml:space="preserve">, ý kiến </w:t>
            </w:r>
            <w:r>
              <w:rPr>
                <w:rFonts w:ascii="Times New Roman" w:hAnsi="Times New Roman" w:cs="Times New Roman"/>
                <w:b/>
                <w:color w:val="000000" w:themeColor="text1"/>
                <w:sz w:val="26"/>
                <w:szCs w:val="26"/>
                <w:lang w:val="pt-BR"/>
              </w:rPr>
              <w:t>của mình khi được lấy ý kiến bằng văn bản hoặc biểu quyết thông qua đối với các quy định tại Điều 20 của Luật Bảo hiểm xã hội và Điều 2 của Nghị định này</w:t>
            </w:r>
            <w:r>
              <w:rPr>
                <w:rFonts w:ascii="Times New Roman" w:hAnsi="Times New Roman" w:cs="Times New Roman"/>
                <w:color w:val="000000" w:themeColor="text1"/>
                <w:sz w:val="26"/>
                <w:szCs w:val="26"/>
                <w:lang w:val="pt-BR"/>
              </w:rPr>
              <w:t>.</w:t>
            </w:r>
          </w:p>
          <w:p w:rsidR="00A83EE3" w:rsidRDefault="00904E0F">
            <w:pPr>
              <w:spacing w:before="60" w:after="60" w:line="252" w:lineRule="auto"/>
              <w:rPr>
                <w:rFonts w:ascii="Times New Roman" w:hAnsi="Times New Roman" w:cs="Times New Roman"/>
                <w:b/>
                <w:color w:val="000000" w:themeColor="text1"/>
                <w:sz w:val="26"/>
                <w:szCs w:val="26"/>
                <w:lang w:val="pt-BR"/>
              </w:rPr>
            </w:pPr>
            <w:r>
              <w:rPr>
                <w:rFonts w:ascii="Times New Roman" w:hAnsi="Times New Roman" w:cs="Times New Roman"/>
                <w:b/>
                <w:color w:val="000000" w:themeColor="text1"/>
                <w:sz w:val="26"/>
                <w:szCs w:val="26"/>
                <w:lang w:val="pt-BR"/>
              </w:rPr>
              <w:t xml:space="preserve">Chủ tịch Hội đồng quản lý báo cáo Thủ tướng Chính phủ về những vấn đề chưa </w:t>
            </w:r>
            <w:r>
              <w:rPr>
                <w:rFonts w:ascii="Times New Roman" w:hAnsi="Times New Roman" w:cs="Times New Roman"/>
                <w:b/>
                <w:color w:val="000000" w:themeColor="text1"/>
                <w:sz w:val="26"/>
                <w:szCs w:val="26"/>
                <w:lang w:val="pt-BR"/>
              </w:rPr>
              <w:lastRenderedPageBreak/>
              <w:t>thống nhất ý kiến giữa các thành viên Hội đồng quản lý.</w:t>
            </w:r>
          </w:p>
        </w:tc>
        <w:tc>
          <w:tcPr>
            <w:tcW w:w="1765" w:type="pct"/>
            <w:vAlign w:val="center"/>
          </w:tcPr>
          <w:p w:rsidR="00A83EE3" w:rsidRDefault="00904E0F">
            <w:pPr>
              <w:spacing w:before="60" w:after="60" w:line="252"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Kế thừa các quy định đã có trong Nghị định 89/2020/NĐ-CP và bổ sung, chỉnh sửa một số nội dung phù hợp với những điều chỉnh, bổ sung tại khoản 4 Điều 19 của Luật BHXH số 41/2024/QH15. Cụ thể, quy định: </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i/>
                <w:sz w:val="26"/>
                <w:szCs w:val="26"/>
                <w:lang w:val="en-US"/>
              </w:rPr>
              <w:t>-</w:t>
            </w:r>
            <w:r>
              <w:rPr>
                <w:rFonts w:ascii="Times New Roman" w:hAnsi="Times New Roman" w:cs="Times New Roman"/>
                <w:i/>
                <w:color w:val="000000" w:themeColor="text1"/>
                <w:sz w:val="26"/>
                <w:szCs w:val="26"/>
                <w:lang w:val="pt-BR"/>
              </w:rPr>
              <w:t xml:space="preserve"> Thành viên Hội đồng quản lý chịu trách nhiệm cá nhân, bảo lưu về quyết định, ý kiến của mình khi được lấy ý kiến bằng văn bản hoặc biểu quyết thông qua đối với các quy định tại Điều 20 của Luật Bảo hiểm xã hội và Điều 2 của Nghị định này</w:t>
            </w:r>
            <w:r>
              <w:rPr>
                <w:rFonts w:ascii="Times New Roman" w:hAnsi="Times New Roman" w:cs="Times New Roman"/>
                <w:color w:val="000000" w:themeColor="text1"/>
                <w:sz w:val="26"/>
                <w:szCs w:val="26"/>
                <w:lang w:val="pt-BR"/>
              </w:rPr>
              <w:t>.</w:t>
            </w:r>
          </w:p>
          <w:p w:rsidR="00A83EE3" w:rsidRDefault="00904E0F">
            <w:pPr>
              <w:spacing w:before="60" w:after="60" w:line="252" w:lineRule="auto"/>
              <w:rPr>
                <w:rFonts w:ascii="Times New Roman" w:hAnsi="Times New Roman" w:cs="Times New Roman"/>
                <w:sz w:val="26"/>
                <w:szCs w:val="26"/>
                <w:lang w:val="en-US"/>
              </w:rPr>
            </w:pPr>
            <w:r>
              <w:rPr>
                <w:rFonts w:ascii="Times New Roman" w:hAnsi="Times New Roman" w:cs="Times New Roman"/>
                <w:color w:val="000000" w:themeColor="text1"/>
                <w:sz w:val="26"/>
                <w:szCs w:val="26"/>
                <w:lang w:val="pt-BR"/>
              </w:rPr>
              <w:t xml:space="preserve">- </w:t>
            </w:r>
            <w:r>
              <w:rPr>
                <w:rFonts w:ascii="Times New Roman" w:hAnsi="Times New Roman" w:cs="Times New Roman"/>
                <w:i/>
                <w:color w:val="000000" w:themeColor="text1"/>
                <w:sz w:val="26"/>
                <w:szCs w:val="26"/>
                <w:lang w:val="pt-BR"/>
              </w:rPr>
              <w:t xml:space="preserve">Chủ tịch Hội đồng quản lý báo cáo Thủ tướng Chính phủ về những vấn đề chưa thống nhất ý kiến giữa các thành viên Hội đồng quản lý. </w:t>
            </w:r>
          </w:p>
        </w:tc>
      </w:tr>
      <w:tr w:rsidR="00A83EE3">
        <w:trPr>
          <w:trHeight w:val="312"/>
        </w:trPr>
        <w:tc>
          <w:tcPr>
            <w:tcW w:w="1617" w:type="pct"/>
          </w:tcPr>
          <w:p w:rsidR="00A83EE3" w:rsidRDefault="00904E0F">
            <w:pPr>
              <w:spacing w:before="60" w:after="60" w:line="252" w:lineRule="auto"/>
              <w:rPr>
                <w:rFonts w:ascii="Times New Roman" w:hAnsi="Times New Roman" w:cs="Times New Roman"/>
                <w:b/>
                <w:i/>
                <w:sz w:val="26"/>
                <w:szCs w:val="26"/>
                <w:lang w:val="en-US"/>
              </w:rPr>
            </w:pPr>
            <w:r>
              <w:rPr>
                <w:rFonts w:ascii="Times New Roman" w:hAnsi="Times New Roman" w:cs="Times New Roman"/>
                <w:b/>
                <w:i/>
                <w:sz w:val="26"/>
                <w:szCs w:val="26"/>
                <w:lang w:val="en-US"/>
              </w:rPr>
              <w:lastRenderedPageBreak/>
              <w:t>1. Nghị định 89/2020/NĐ-CP ngày 08/4/2020 của Chính phủ</w:t>
            </w:r>
          </w:p>
          <w:p w:rsidR="00A83EE3" w:rsidRDefault="00904E0F">
            <w:pPr>
              <w:shd w:val="clear" w:color="auto" w:fill="FFFFFF"/>
              <w:spacing w:before="60" w:after="60" w:line="252" w:lineRule="auto"/>
              <w:rPr>
                <w:rFonts w:ascii="Times New Roman" w:eastAsia="Times New Roman" w:hAnsi="Times New Roman" w:cs="Times New Roman"/>
                <w:color w:val="000000"/>
                <w:sz w:val="26"/>
                <w:szCs w:val="26"/>
              </w:rPr>
            </w:pPr>
            <w:r>
              <w:rPr>
                <w:rFonts w:ascii="Times New Roman" w:hAnsi="Times New Roman" w:cs="Times New Roman"/>
                <w:color w:val="000000" w:themeColor="text1"/>
                <w:sz w:val="26"/>
                <w:szCs w:val="26"/>
                <w:lang w:val="pt-BR"/>
              </w:rPr>
              <w:t xml:space="preserve">Chương III, Khoản 5 Điều 11. Chế độ làm việc của Hội đồng quản lý quy định: </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eastAsia="Times New Roman" w:hAnsi="Times New Roman" w:cs="Times New Roman"/>
                <w:i/>
                <w:color w:val="000000"/>
                <w:sz w:val="26"/>
                <w:szCs w:val="26"/>
                <w:lang w:val="fr-FR"/>
              </w:rPr>
              <w:t>« 5. Nghị quyết của Hội đồng quản lý được gửi đến các thành viên Hội đồng quản lý và Tổng Giám đốc để tổ chức thực hiện. »</w:t>
            </w:r>
          </w:p>
        </w:tc>
        <w:tc>
          <w:tcPr>
            <w:tcW w:w="1616" w:type="pct"/>
            <w:shd w:val="clear" w:color="auto" w:fill="auto"/>
            <w:vAlign w:val="center"/>
          </w:tcPr>
          <w:p w:rsidR="00A83EE3" w:rsidRDefault="00904E0F">
            <w:p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color w:val="000000" w:themeColor="text1"/>
                <w:sz w:val="26"/>
                <w:szCs w:val="26"/>
                <w:lang w:val="pt-BR"/>
              </w:rPr>
              <w:t xml:space="preserve">4. </w:t>
            </w:r>
            <w:r>
              <w:rPr>
                <w:rFonts w:ascii="Times New Roman" w:hAnsi="Times New Roman" w:cs="Times New Roman"/>
                <w:b/>
                <w:bCs/>
                <w:color w:val="000000" w:themeColor="text1"/>
                <w:sz w:val="26"/>
                <w:szCs w:val="26"/>
                <w:lang w:val="en-US"/>
              </w:rPr>
              <w:t xml:space="preserve">Trong vòng </w:t>
            </w:r>
            <w:r>
              <w:rPr>
                <w:rFonts w:ascii="Times New Roman" w:hAnsi="Times New Roman" w:cs="Times New Roman"/>
                <w:b/>
                <w:bCs/>
                <w:sz w:val="26"/>
                <w:szCs w:val="26"/>
                <w:lang w:val="en-US"/>
              </w:rPr>
              <w:t>10 ngày kể từ ngày kết thúc cuộc họp hoặc nhận đủ ý kiến bằng văn bản của các Thành viên Hội đồng quản lý về các nội dung xin ý kiến</w:t>
            </w:r>
            <w:r>
              <w:rPr>
                <w:rFonts w:ascii="Times New Roman" w:hAnsi="Times New Roman" w:cs="Times New Roman"/>
                <w:sz w:val="26"/>
                <w:szCs w:val="26"/>
                <w:lang w:val="en-US"/>
              </w:rPr>
              <w:t xml:space="preserve">, nghị quyết của Hội đồng quản lý phải được ban hành </w:t>
            </w:r>
            <w:r>
              <w:rPr>
                <w:rFonts w:ascii="Times New Roman" w:hAnsi="Times New Roman" w:cs="Times New Roman"/>
                <w:color w:val="000000" w:themeColor="text1"/>
                <w:sz w:val="26"/>
                <w:szCs w:val="26"/>
                <w:lang w:val="en-US"/>
              </w:rPr>
              <w:t xml:space="preserve">và </w:t>
            </w:r>
            <w:r>
              <w:rPr>
                <w:rFonts w:ascii="Times New Roman" w:hAnsi="Times New Roman" w:cs="Times New Roman"/>
                <w:color w:val="000000" w:themeColor="text1"/>
                <w:sz w:val="26"/>
                <w:szCs w:val="26"/>
                <w:lang w:val="pt-BR"/>
              </w:rPr>
              <w:t>được gửi đến các thành viên Hội đồng quản lý để tổ chức thực hiện</w:t>
            </w:r>
            <w:r>
              <w:rPr>
                <w:rFonts w:ascii="Times New Roman" w:hAnsi="Times New Roman" w:cs="Times New Roman"/>
                <w:color w:val="000000" w:themeColor="text1"/>
                <w:sz w:val="26"/>
                <w:szCs w:val="26"/>
                <w:lang w:val="en-US"/>
              </w:rPr>
              <w:t xml:space="preserve">; đồng thời báo cáo Thủ tướng Chính phủ và </w:t>
            </w:r>
            <w:r>
              <w:rPr>
                <w:rFonts w:ascii="Times New Roman" w:hAnsi="Times New Roman" w:cs="Times New Roman"/>
                <w:color w:val="000000" w:themeColor="text1"/>
                <w:sz w:val="26"/>
                <w:szCs w:val="26"/>
                <w:lang w:val="pt-BR"/>
              </w:rPr>
              <w:t>đ</w:t>
            </w:r>
            <w:r>
              <w:rPr>
                <w:rFonts w:ascii="Times New Roman" w:hAnsi="Times New Roman" w:cs="Times New Roman"/>
                <w:b/>
                <w:bCs/>
                <w:color w:val="000000" w:themeColor="text1"/>
                <w:sz w:val="26"/>
                <w:szCs w:val="26"/>
                <w:lang w:val="pt-BR"/>
              </w:rPr>
              <w:t xml:space="preserve">ược gửi đến các cơ quan, đơn vị có liên quan để phối hợp </w:t>
            </w:r>
            <w:r>
              <w:rPr>
                <w:rFonts w:ascii="Times New Roman" w:hAnsi="Times New Roman" w:cs="Times New Roman"/>
                <w:b/>
                <w:bCs/>
                <w:color w:val="000000" w:themeColor="text1"/>
                <w:sz w:val="26"/>
                <w:szCs w:val="26"/>
                <w:lang w:val="en-US"/>
              </w:rPr>
              <w:t xml:space="preserve">chỉ đạo, </w:t>
            </w:r>
            <w:r>
              <w:rPr>
                <w:rFonts w:ascii="Times New Roman" w:hAnsi="Times New Roman" w:cs="Times New Roman"/>
                <w:b/>
                <w:bCs/>
                <w:color w:val="000000" w:themeColor="text1"/>
                <w:sz w:val="26"/>
                <w:szCs w:val="26"/>
                <w:lang w:val="pt-BR"/>
              </w:rPr>
              <w:t>triển khai thực hiện các nội dung</w:t>
            </w:r>
            <w:r>
              <w:rPr>
                <w:rFonts w:ascii="Times New Roman" w:hAnsi="Times New Roman" w:cs="Times New Roman"/>
                <w:b/>
                <w:bCs/>
                <w:color w:val="000000" w:themeColor="text1"/>
                <w:sz w:val="26"/>
                <w:szCs w:val="26"/>
                <w:lang w:val="en-US"/>
              </w:rPr>
              <w:t>, báo cáo</w:t>
            </w:r>
            <w:r>
              <w:rPr>
                <w:rFonts w:ascii="Times New Roman" w:hAnsi="Times New Roman" w:cs="Times New Roman"/>
                <w:b/>
                <w:bCs/>
                <w:color w:val="000000" w:themeColor="text1"/>
                <w:sz w:val="26"/>
                <w:szCs w:val="26"/>
                <w:lang w:val="pt-BR"/>
              </w:rPr>
              <w:t xml:space="preserve"> có liên quan.</w:t>
            </w:r>
          </w:p>
        </w:tc>
        <w:tc>
          <w:tcPr>
            <w:tcW w:w="1765" w:type="pct"/>
            <w:vAlign w:val="center"/>
          </w:tcPr>
          <w:p w:rsidR="00A83EE3" w:rsidRDefault="00904E0F">
            <w:pPr>
              <w:spacing w:before="60" w:after="60" w:line="252"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Kế thừa quy định hiện có trong Nghị định số 89/2020/NĐ-CP và có bổ sung, sửa đổi một số câu từ để phù hợp trong quá trình tổ chức thực hiện. </w:t>
            </w:r>
          </w:p>
        </w:tc>
      </w:tr>
      <w:tr w:rsidR="00A83EE3">
        <w:trPr>
          <w:trHeight w:val="312"/>
        </w:trPr>
        <w:tc>
          <w:tcPr>
            <w:tcW w:w="1617" w:type="pct"/>
          </w:tcPr>
          <w:p w:rsidR="00A83EE3" w:rsidRDefault="00904E0F">
            <w:pPr>
              <w:spacing w:before="60" w:after="60" w:line="252" w:lineRule="auto"/>
              <w:rPr>
                <w:rFonts w:ascii="Times New Roman" w:hAnsi="Times New Roman" w:cs="Times New Roman"/>
                <w:b/>
                <w:i/>
                <w:sz w:val="26"/>
                <w:szCs w:val="26"/>
                <w:lang w:val="en-US"/>
              </w:rPr>
            </w:pPr>
            <w:r>
              <w:rPr>
                <w:rFonts w:ascii="Times New Roman" w:hAnsi="Times New Roman" w:cs="Times New Roman"/>
                <w:b/>
                <w:i/>
                <w:sz w:val="26"/>
                <w:szCs w:val="26"/>
                <w:lang w:val="en-US"/>
              </w:rPr>
              <w:t>1. Nghị định 89/2020/NĐ-CP ngày 08/4/2020 của Chính phủ</w:t>
            </w:r>
          </w:p>
          <w:p w:rsidR="00A83EE3" w:rsidRDefault="00904E0F">
            <w:pPr>
              <w:shd w:val="clear" w:color="auto" w:fill="FFFFFF"/>
              <w:spacing w:before="60" w:after="60" w:line="252" w:lineRule="auto"/>
              <w:rPr>
                <w:rFonts w:ascii="Times New Roman" w:eastAsia="Times New Roman" w:hAnsi="Times New Roman" w:cs="Times New Roman"/>
                <w:color w:val="000000"/>
                <w:sz w:val="26"/>
                <w:szCs w:val="26"/>
              </w:rPr>
            </w:pPr>
            <w:r>
              <w:rPr>
                <w:rFonts w:ascii="Times New Roman" w:hAnsi="Times New Roman" w:cs="Times New Roman"/>
                <w:color w:val="000000" w:themeColor="text1"/>
                <w:sz w:val="26"/>
                <w:szCs w:val="26"/>
                <w:lang w:val="pt-BR"/>
              </w:rPr>
              <w:t xml:space="preserve">(1) Chương III, Khoản 6 Điều 11. Chế độ làm việc của Hội đồng quản lý quy định: </w:t>
            </w:r>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lang w:val="fr-FR"/>
              </w:rPr>
            </w:pPr>
            <w:r>
              <w:rPr>
                <w:rFonts w:ascii="Times New Roman" w:eastAsia="Times New Roman" w:hAnsi="Times New Roman" w:cs="Times New Roman"/>
                <w:i/>
                <w:color w:val="000000"/>
                <w:sz w:val="26"/>
                <w:szCs w:val="26"/>
                <w:lang w:val="fr-FR"/>
              </w:rPr>
              <w:t>« 6. Thành viên Hội đồng quản lý có quyền yêu cầu Tổng Giám đốc cung cấp thông tin, tài liệu về những nội dung thuộc phạm vi trách nhiệm, quyền hạn của Hội đồng quản lý. Tổng Giám đốc có trách nhiệm cung cấp kịp thời, đầy đủ và chính xác các thông tin và tài liệu về những nội dung thuộc phạm vi trách nhiệm, quyền hạn của Hội đồng quản lý theo yêu cầu của các thành viên Hội đồng quản lý. »</w:t>
            </w:r>
          </w:p>
          <w:p w:rsidR="00A83EE3" w:rsidRDefault="00904E0F">
            <w:pPr>
              <w:shd w:val="clear" w:color="auto" w:fill="FFFFFF"/>
              <w:spacing w:before="60" w:after="60" w:line="252" w:lineRule="auto"/>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 xml:space="preserve">(2) Điểm c khoản 4 Điều 4. Lãnh đạo Bảo hiểm xã hội Việt Nam: </w:t>
            </w:r>
          </w:p>
          <w:p w:rsidR="00A83EE3" w:rsidRDefault="00904E0F">
            <w:pPr>
              <w:shd w:val="clear" w:color="auto" w:fill="FFFFFF"/>
              <w:spacing w:before="60" w:after="60" w:line="252" w:lineRule="auto"/>
              <w:rPr>
                <w:rFonts w:ascii="Times New Roman" w:hAnsi="Times New Roman" w:cs="Times New Roman"/>
                <w:color w:val="000000" w:themeColor="text1"/>
                <w:sz w:val="26"/>
                <w:szCs w:val="26"/>
                <w:lang w:val="pt-BR"/>
              </w:rPr>
            </w:pPr>
            <w:r>
              <w:rPr>
                <w:rFonts w:ascii="Times New Roman" w:eastAsia="Times New Roman" w:hAnsi="Times New Roman" w:cs="Times New Roman"/>
                <w:i/>
                <w:color w:val="000000"/>
                <w:sz w:val="26"/>
                <w:szCs w:val="26"/>
                <w:lang w:val="en-US"/>
              </w:rPr>
              <w:lastRenderedPageBreak/>
              <w:t>“</w:t>
            </w:r>
            <w:r>
              <w:rPr>
                <w:rFonts w:ascii="Times New Roman" w:eastAsia="Times New Roman" w:hAnsi="Times New Roman" w:cs="Times New Roman"/>
                <w:i/>
                <w:color w:val="000000"/>
                <w:sz w:val="26"/>
                <w:szCs w:val="26"/>
              </w:rPr>
              <w:t>c) Tổng Giám đốc có trách nhiệm chuẩn bị các nội dung quy định tại </w:t>
            </w:r>
            <w:bookmarkStart w:id="4" w:name="tc_2"/>
            <w:r>
              <w:rPr>
                <w:rFonts w:ascii="Times New Roman" w:eastAsia="Times New Roman" w:hAnsi="Times New Roman" w:cs="Times New Roman"/>
                <w:i/>
                <w:color w:val="0000FF"/>
                <w:sz w:val="26"/>
                <w:szCs w:val="26"/>
              </w:rPr>
              <w:t>khoản 5 Điều 10 Nghị định này</w:t>
            </w:r>
            <w:bookmarkEnd w:id="4"/>
            <w:r>
              <w:rPr>
                <w:rFonts w:ascii="Times New Roman" w:eastAsia="Times New Roman" w:hAnsi="Times New Roman" w:cs="Times New Roman"/>
                <w:i/>
                <w:color w:val="000000"/>
                <w:sz w:val="26"/>
                <w:szCs w:val="26"/>
              </w:rPr>
              <w:t> để báo cáo Hội đồng quản lý bảo hiểm xã hội xem xét thông qua và tổ chức thực hiện các nghị quyết của Hội đồng quản lý.</w:t>
            </w:r>
            <w:r>
              <w:rPr>
                <w:rFonts w:ascii="Times New Roman" w:eastAsia="Times New Roman" w:hAnsi="Times New Roman" w:cs="Times New Roman"/>
                <w:i/>
                <w:color w:val="000000"/>
                <w:sz w:val="26"/>
                <w:szCs w:val="26"/>
                <w:lang w:val="en-US"/>
              </w:rPr>
              <w:t>”</w:t>
            </w:r>
          </w:p>
        </w:tc>
        <w:tc>
          <w:tcPr>
            <w:tcW w:w="1616" w:type="pct"/>
            <w:shd w:val="clear" w:color="auto" w:fill="auto"/>
            <w:vAlign w:val="center"/>
          </w:tcPr>
          <w:p w:rsidR="00A83EE3" w:rsidRDefault="00904E0F">
            <w:pPr>
              <w:spacing w:before="60" w:after="60" w:line="252" w:lineRule="auto"/>
              <w:ind w:firstLine="22"/>
              <w:rPr>
                <w:rFonts w:ascii="Times New Roman" w:hAnsi="Times New Roman" w:cs="Times New Roman"/>
                <w:b/>
                <w:bCs/>
                <w:sz w:val="26"/>
                <w:szCs w:val="26"/>
                <w:lang w:val="en-US"/>
              </w:rPr>
            </w:pPr>
            <w:r>
              <w:rPr>
                <w:rFonts w:ascii="Times New Roman" w:hAnsi="Times New Roman" w:cs="Times New Roman"/>
                <w:color w:val="000000" w:themeColor="text1"/>
                <w:sz w:val="26"/>
                <w:szCs w:val="26"/>
                <w:lang w:val="pt-BR"/>
              </w:rPr>
              <w:lastRenderedPageBreak/>
              <w:t>5. Thành viên Hội đồng quản lý có quyền yêu cầu Giám đốc Bảo hiểm xã hội Việt Nam cung cấp thông tin, tài liệu về những nội dung thuộc phạm vi trách nhiệm, quyền hạn của Hội đồng quản lý. Giám đốc Bảo hiểm xã hội Việt Nam có trách nhiệm cung cấp kịp thời, đầy đủ, chính xác các thông tin và tài liệu về những nội dung thuộc phạm vi trách nhiệm, quyền hạn của Hội đồng quản lý theo yêu cầu của các thành viên Hội đồng quản lý.</w:t>
            </w:r>
          </w:p>
        </w:tc>
        <w:tc>
          <w:tcPr>
            <w:tcW w:w="1765" w:type="pct"/>
            <w:vAlign w:val="center"/>
          </w:tcPr>
          <w:p w:rsidR="00A83EE3" w:rsidRDefault="00904E0F">
            <w:pPr>
              <w:spacing w:before="60" w:after="60" w:line="252"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Kế thừa các quy định đã có trong Nghị định số 89/2020/NĐ-CP. </w:t>
            </w:r>
          </w:p>
        </w:tc>
      </w:tr>
      <w:tr w:rsidR="00A83EE3">
        <w:trPr>
          <w:trHeight w:val="90"/>
        </w:trPr>
        <w:tc>
          <w:tcPr>
            <w:tcW w:w="1617" w:type="pct"/>
          </w:tcPr>
          <w:p w:rsidR="00A83EE3" w:rsidRDefault="00904E0F">
            <w:pPr>
              <w:spacing w:before="60" w:after="60" w:line="252" w:lineRule="auto"/>
              <w:rPr>
                <w:rFonts w:ascii="Times New Roman" w:hAnsi="Times New Roman" w:cs="Times New Roman"/>
                <w:b/>
                <w:i/>
                <w:sz w:val="26"/>
                <w:szCs w:val="26"/>
                <w:lang w:val="en-US"/>
              </w:rPr>
            </w:pPr>
            <w:r>
              <w:rPr>
                <w:rFonts w:ascii="Times New Roman" w:hAnsi="Times New Roman" w:cs="Times New Roman"/>
                <w:b/>
                <w:i/>
                <w:sz w:val="26"/>
                <w:szCs w:val="26"/>
                <w:lang w:val="en-US"/>
              </w:rPr>
              <w:lastRenderedPageBreak/>
              <w:t>1. Nghị định 89/2020/NĐ-CP ngày 08/4/2020 của Chính phủ</w:t>
            </w:r>
          </w:p>
          <w:p w:rsidR="00A83EE3" w:rsidRDefault="00904E0F">
            <w:pPr>
              <w:shd w:val="clear" w:color="auto" w:fill="FFFFFF"/>
              <w:spacing w:before="60" w:after="60" w:line="252" w:lineRule="auto"/>
              <w:rPr>
                <w:rFonts w:ascii="Times New Roman" w:eastAsia="Times New Roman" w:hAnsi="Times New Roman" w:cs="Times New Roman"/>
                <w:color w:val="000000"/>
                <w:sz w:val="26"/>
                <w:szCs w:val="26"/>
              </w:rPr>
            </w:pPr>
            <w:r>
              <w:rPr>
                <w:rFonts w:ascii="Times New Roman" w:hAnsi="Times New Roman" w:cs="Times New Roman"/>
                <w:color w:val="000000" w:themeColor="text1"/>
                <w:sz w:val="26"/>
                <w:szCs w:val="26"/>
                <w:lang w:val="pt-BR"/>
              </w:rPr>
              <w:t xml:space="preserve">Chương III, Khoản 9 Điều 11. Chế độ làm việc của Hội đồng quản lý quy định: </w:t>
            </w:r>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lang w:val="fr-FR"/>
              </w:rPr>
              <w:t>« 9. Các thành viên Hội đồng quản lý sử dụng cán bộ, công chức, viên chức của bộ, ngành mình để giúp việc. Thành viên Hội đồng quản lý được hưởng chế độ thù lao do Chính phủ quy định. »</w:t>
            </w:r>
          </w:p>
        </w:tc>
        <w:tc>
          <w:tcPr>
            <w:tcW w:w="1616" w:type="pct"/>
            <w:shd w:val="clear" w:color="auto" w:fill="auto"/>
            <w:vAlign w:val="center"/>
          </w:tcPr>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 xml:space="preserve">6. Các thành viên Hội đồng quản lý </w:t>
            </w:r>
            <w:r>
              <w:rPr>
                <w:rFonts w:ascii="Times New Roman" w:hAnsi="Times New Roman" w:cs="Times New Roman"/>
                <w:b/>
                <w:color w:val="000000" w:themeColor="text1"/>
                <w:sz w:val="26"/>
                <w:szCs w:val="26"/>
                <w:lang w:val="pt-BR"/>
              </w:rPr>
              <w:t>là đại diện của các Bộ, ngành, cơ quan</w:t>
            </w:r>
            <w:r>
              <w:rPr>
                <w:rFonts w:ascii="Times New Roman" w:hAnsi="Times New Roman" w:cs="Times New Roman"/>
                <w:color w:val="000000" w:themeColor="text1"/>
                <w:sz w:val="26"/>
                <w:szCs w:val="26"/>
                <w:lang w:val="pt-BR"/>
              </w:rPr>
              <w:t xml:space="preserve"> </w:t>
            </w:r>
            <w:r>
              <w:rPr>
                <w:rFonts w:ascii="Times New Roman" w:hAnsi="Times New Roman" w:cs="Times New Roman"/>
                <w:b/>
                <w:color w:val="000000" w:themeColor="text1"/>
                <w:sz w:val="26"/>
                <w:szCs w:val="26"/>
                <w:lang w:val="pt-BR"/>
              </w:rPr>
              <w:t>được</w:t>
            </w:r>
            <w:r>
              <w:rPr>
                <w:rFonts w:ascii="Times New Roman" w:hAnsi="Times New Roman" w:cs="Times New Roman"/>
                <w:color w:val="000000" w:themeColor="text1"/>
                <w:sz w:val="26"/>
                <w:szCs w:val="26"/>
                <w:lang w:val="pt-BR"/>
              </w:rPr>
              <w:t xml:space="preserve"> sử dụng cán bộ, công chức, viên chức của bộ, ngành, cơ quan mình để giúp việc. Thành viên Hội đồng quản lý </w:t>
            </w:r>
            <w:r>
              <w:rPr>
                <w:rFonts w:ascii="Times New Roman" w:hAnsi="Times New Roman" w:cs="Times New Roman"/>
                <w:b/>
                <w:color w:val="000000" w:themeColor="text1"/>
                <w:sz w:val="26"/>
                <w:szCs w:val="26"/>
                <w:lang w:val="pt-BR"/>
              </w:rPr>
              <w:t xml:space="preserve">và các công chức, viên chức </w:t>
            </w:r>
            <w:r>
              <w:rPr>
                <w:rFonts w:ascii="Times New Roman" w:hAnsi="Times New Roman" w:cs="Times New Roman"/>
                <w:b/>
                <w:sz w:val="26"/>
                <w:szCs w:val="26"/>
              </w:rPr>
              <w:t xml:space="preserve">giúp việc cho các thành viên Hội đồng quản lý </w:t>
            </w:r>
            <w:r>
              <w:rPr>
                <w:rFonts w:ascii="Times New Roman" w:hAnsi="Times New Roman" w:cs="Times New Roman"/>
                <w:color w:val="000000" w:themeColor="text1"/>
                <w:sz w:val="26"/>
                <w:szCs w:val="26"/>
                <w:lang w:val="pt-BR"/>
              </w:rPr>
              <w:t>được hưởng chế độ thù lao</w:t>
            </w:r>
            <w:r>
              <w:rPr>
                <w:rFonts w:ascii="Times New Roman" w:hAnsi="Times New Roman" w:cs="Times New Roman"/>
                <w:color w:val="000000" w:themeColor="text1"/>
                <w:sz w:val="26"/>
                <w:szCs w:val="26"/>
                <w:lang w:val="en-US"/>
              </w:rPr>
              <w:t xml:space="preserve"> </w:t>
            </w:r>
            <w:r>
              <w:rPr>
                <w:rFonts w:ascii="Times New Roman" w:hAnsi="Times New Roman" w:cs="Times New Roman"/>
                <w:b/>
                <w:color w:val="000000" w:themeColor="text1"/>
                <w:sz w:val="26"/>
                <w:szCs w:val="26"/>
                <w:lang w:val="pt-BR"/>
              </w:rPr>
              <w:t>theo quy định</w:t>
            </w:r>
            <w:r>
              <w:rPr>
                <w:rFonts w:ascii="Times New Roman" w:hAnsi="Times New Roman" w:cs="Times New Roman"/>
                <w:color w:val="000000" w:themeColor="text1"/>
                <w:sz w:val="26"/>
                <w:szCs w:val="26"/>
                <w:lang w:val="pt-BR"/>
              </w:rPr>
              <w:t>.</w:t>
            </w:r>
          </w:p>
        </w:tc>
        <w:tc>
          <w:tcPr>
            <w:tcW w:w="1765" w:type="pct"/>
            <w:vAlign w:val="center"/>
          </w:tcPr>
          <w:p w:rsidR="00A83EE3" w:rsidRDefault="00904E0F">
            <w:pPr>
              <w:pStyle w:val="FootnoteText"/>
              <w:spacing w:before="60" w:after="60" w:line="252" w:lineRule="auto"/>
              <w:rPr>
                <w:sz w:val="26"/>
                <w:szCs w:val="26"/>
              </w:rPr>
            </w:pPr>
            <w:r>
              <w:rPr>
                <w:sz w:val="26"/>
                <w:szCs w:val="26"/>
              </w:rPr>
              <w:t xml:space="preserve">Kế thừa quy định đã có trong Nghị định 89/2020/NĐ-CP và bổ quy định các công chức, viên chức giúp việc cho các thành viên Hội đồng quản lý cũng được hưởng chế độ thù lao (ngoài lương và phụ cấp hưởng theo quy định, do cơ quan quản lý trực tiếp chi trả theo vị trí, chức danh, chức vụ của cơ quan, đơn vị nơi thành viên công tác) để khắc phục bất cập thời gian qua.  </w:t>
            </w:r>
          </w:p>
        </w:tc>
      </w:tr>
      <w:tr w:rsidR="00A83EE3">
        <w:trPr>
          <w:trHeight w:val="312"/>
        </w:trPr>
        <w:tc>
          <w:tcPr>
            <w:tcW w:w="1617" w:type="pct"/>
          </w:tcPr>
          <w:p w:rsidR="00A83EE3" w:rsidRDefault="00A83EE3">
            <w:pPr>
              <w:spacing w:before="60" w:after="60" w:line="252" w:lineRule="auto"/>
              <w:rPr>
                <w:rFonts w:ascii="Times New Roman" w:hAnsi="Times New Roman" w:cs="Times New Roman"/>
                <w:color w:val="000000" w:themeColor="text1"/>
                <w:sz w:val="26"/>
                <w:szCs w:val="26"/>
                <w:lang w:val="pt-BR"/>
              </w:rPr>
            </w:pPr>
          </w:p>
        </w:tc>
        <w:tc>
          <w:tcPr>
            <w:tcW w:w="1616" w:type="pct"/>
            <w:shd w:val="clear" w:color="auto" w:fill="auto"/>
            <w:vAlign w:val="center"/>
          </w:tcPr>
          <w:p w:rsidR="00A83EE3" w:rsidRDefault="00904E0F">
            <w:pPr>
              <w:numPr>
                <w:ilvl w:val="0"/>
                <w:numId w:val="3"/>
              </w:num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b/>
                <w:bCs/>
                <w:color w:val="000000" w:themeColor="text1"/>
                <w:sz w:val="26"/>
                <w:szCs w:val="26"/>
                <w:lang w:val="pt-BR"/>
              </w:rPr>
              <w:t>Chủ tịch Hội đồng quản lý có trách nhiệm chỉ đạo xây dựng, ban hành Quy chế làm việc của Hội đồng quản lý và các quy chế khác phù hợp với quy định pháp luật; quy chế tổ chức và hoạt động của Văn phòng Hội đồng quản lý trên cơ sở ý kiến thông qua của Hội đồng quản lý.</w:t>
            </w:r>
          </w:p>
        </w:tc>
        <w:tc>
          <w:tcPr>
            <w:tcW w:w="1765" w:type="pct"/>
            <w:vAlign w:val="center"/>
          </w:tcPr>
          <w:p w:rsidR="00A83EE3" w:rsidRDefault="00904E0F">
            <w:pPr>
              <w:spacing w:before="60" w:after="60" w:line="252"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Bổ sung mới quy định của khoản này. </w:t>
            </w:r>
          </w:p>
          <w:p w:rsidR="00A83EE3" w:rsidRDefault="00904E0F">
            <w:pPr>
              <w:spacing w:before="60" w:after="60" w:line="252" w:lineRule="auto"/>
              <w:rPr>
                <w:rFonts w:ascii="Times New Roman" w:hAnsi="Times New Roman" w:cs="Times New Roman"/>
                <w:sz w:val="26"/>
                <w:szCs w:val="26"/>
              </w:rPr>
            </w:pPr>
            <w:r>
              <w:rPr>
                <w:rFonts w:ascii="Times New Roman" w:hAnsi="Times New Roman" w:cs="Times New Roman"/>
                <w:sz w:val="26"/>
                <w:szCs w:val="26"/>
                <w:u w:val="single"/>
                <w:lang w:val="en-US"/>
              </w:rPr>
              <w:t>Lý do</w:t>
            </w:r>
            <w:r>
              <w:rPr>
                <w:rFonts w:ascii="Times New Roman" w:hAnsi="Times New Roman" w:cs="Times New Roman"/>
                <w:sz w:val="26"/>
                <w:szCs w:val="26"/>
                <w:lang w:val="en-US"/>
              </w:rPr>
              <w:t xml:space="preserve">: </w:t>
            </w:r>
            <w:r>
              <w:rPr>
                <w:rFonts w:ascii="Times New Roman" w:hAnsi="Times New Roman" w:cs="Times New Roman"/>
                <w:sz w:val="26"/>
                <w:szCs w:val="26"/>
              </w:rPr>
              <w:t xml:space="preserve">Hiện tại, </w:t>
            </w:r>
            <w:r>
              <w:rPr>
                <w:rFonts w:ascii="Times New Roman" w:hAnsi="Times New Roman" w:cs="Times New Roman"/>
                <w:iCs/>
                <w:sz w:val="26"/>
                <w:szCs w:val="26"/>
                <w:lang w:val="pt-BR"/>
              </w:rPr>
              <w:t xml:space="preserve">Quy chế làm việc quy định về hoạt động của Hội đồng quản lý; nhiệm vụ quyền hạn của Chủ tịch, các Phó Chủ tịch, các Ủy viên Hội đồng quản lý và các đơn vị, cán bộ, công chức, viên chức giúp việc thành viên Hội đồng quản lý được </w:t>
            </w:r>
            <w:r>
              <w:rPr>
                <w:rFonts w:ascii="Times New Roman" w:hAnsi="Times New Roman" w:cs="Times New Roman"/>
                <w:sz w:val="26"/>
                <w:szCs w:val="26"/>
              </w:rPr>
              <w:t xml:space="preserve">Hội đồng quản lý quy định và ban hành tại </w:t>
            </w:r>
            <w:r>
              <w:rPr>
                <w:rFonts w:ascii="Times New Roman" w:hAnsi="Times New Roman" w:cs="Times New Roman"/>
                <w:iCs/>
                <w:sz w:val="26"/>
                <w:szCs w:val="26"/>
                <w:lang w:val="pt-BR"/>
              </w:rPr>
              <w:t xml:space="preserve">Nghị </w:t>
            </w:r>
            <w:r>
              <w:rPr>
                <w:rFonts w:ascii="Times New Roman" w:hAnsi="Times New Roman" w:cs="Times New Roman"/>
                <w:iCs/>
                <w:sz w:val="26"/>
                <w:szCs w:val="26"/>
              </w:rPr>
              <w:t>q</w:t>
            </w:r>
            <w:r>
              <w:rPr>
                <w:rFonts w:ascii="Times New Roman" w:hAnsi="Times New Roman" w:cs="Times New Roman"/>
                <w:iCs/>
                <w:sz w:val="26"/>
                <w:szCs w:val="26"/>
                <w:lang w:val="pt-BR"/>
              </w:rPr>
              <w:t xml:space="preserve">uyết số 2919/NQ-HĐQL ngày 17/9/2021 và </w:t>
            </w:r>
            <w:r>
              <w:rPr>
                <w:rFonts w:ascii="Times New Roman" w:hAnsi="Times New Roman" w:cs="Times New Roman"/>
                <w:sz w:val="26"/>
                <w:szCs w:val="26"/>
              </w:rPr>
              <w:t xml:space="preserve">Nghị quyết số 393/NQ-HĐQL ngày 22/02/2021. </w:t>
            </w:r>
          </w:p>
          <w:p w:rsidR="00A83EE3" w:rsidRDefault="00904E0F">
            <w:pPr>
              <w:spacing w:before="60" w:after="60" w:line="252" w:lineRule="auto"/>
              <w:rPr>
                <w:rFonts w:ascii="Times New Roman" w:hAnsi="Times New Roman" w:cs="Times New Roman"/>
                <w:iCs/>
                <w:sz w:val="26"/>
                <w:szCs w:val="26"/>
                <w:lang w:val="en-US"/>
              </w:rPr>
            </w:pPr>
            <w:r>
              <w:rPr>
                <w:rFonts w:ascii="Times New Roman" w:hAnsi="Times New Roman" w:cs="Times New Roman"/>
                <w:iCs/>
                <w:sz w:val="26"/>
                <w:szCs w:val="26"/>
                <w:lang w:val="pt-BR"/>
              </w:rPr>
              <w:t xml:space="preserve">Trong quá trình rà soát, chỉnh lý dự thảo Luật BHXH (sửa đổi), nhiều nội dung quy định tại Quy chế làm việc của Hội đồng đã được các cơ quan chức năng của Quốc hội xem xét và đề nghị </w:t>
            </w:r>
            <w:r>
              <w:rPr>
                <w:rFonts w:ascii="Times New Roman" w:hAnsi="Times New Roman" w:cs="Times New Roman"/>
                <w:iCs/>
                <w:sz w:val="26"/>
                <w:szCs w:val="26"/>
                <w:lang w:val="pt-BR"/>
              </w:rPr>
              <w:lastRenderedPageBreak/>
              <w:t>bổ sung, nâng cấp đưa vào Luật định. Đồng thời tiếp tục giao Chính phủ cụ thể hóa chế độ làm việc của Hội đồng tại Nghị định này. Tuy nhiên, đối với một số quy định chi tiết khác sẽ cần được làm rõ trong Quy chế làm việc của Hội đồng quản lý và một số nội dung khác liên quan. Do đó, dự thảo Nghị định thiết</w:t>
            </w:r>
            <w:r>
              <w:rPr>
                <w:rFonts w:ascii="Times New Roman" w:hAnsi="Times New Roman" w:cs="Times New Roman"/>
                <w:iCs/>
                <w:sz w:val="26"/>
                <w:szCs w:val="26"/>
                <w:lang w:val="en-US"/>
              </w:rPr>
              <w:t xml:space="preserve"> kế bổ sung mới 01 khoản tại Điều 5 để thể chế hoá thẩm quyền, trách nhiệm của Chủ tịch Hội đồng quản lý. Các nội dung Quy chế làm việc và các quy chế khác, quy chế tổ chức và hoạt động của Văn phòng Hội đồng đều phải được Hội đồng nhất trí, thông qua trước khi Chủ tịch Hội đồng ký, ban hành, đồng thời phải phù hợp với quy định liên quan của pháp luật. </w:t>
            </w:r>
          </w:p>
        </w:tc>
      </w:tr>
      <w:tr w:rsidR="00A83EE3">
        <w:trPr>
          <w:trHeight w:val="312"/>
        </w:trPr>
        <w:tc>
          <w:tcPr>
            <w:tcW w:w="1617" w:type="pct"/>
          </w:tcPr>
          <w:p w:rsidR="00A83EE3" w:rsidRDefault="00A83EE3">
            <w:pPr>
              <w:spacing w:before="60" w:after="60" w:line="252" w:lineRule="auto"/>
              <w:rPr>
                <w:rFonts w:ascii="Times New Roman" w:hAnsi="Times New Roman" w:cs="Times New Roman"/>
                <w:b/>
                <w:color w:val="000000" w:themeColor="text1"/>
                <w:sz w:val="26"/>
                <w:szCs w:val="26"/>
                <w:lang w:val="pt-BR"/>
              </w:rPr>
            </w:pPr>
          </w:p>
        </w:tc>
        <w:tc>
          <w:tcPr>
            <w:tcW w:w="1616" w:type="pct"/>
            <w:shd w:val="clear" w:color="auto" w:fill="auto"/>
            <w:vAlign w:val="center"/>
          </w:tcPr>
          <w:p w:rsidR="00A83EE3" w:rsidRDefault="00904E0F">
            <w:p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b/>
                <w:bCs/>
                <w:color w:val="000000" w:themeColor="text1"/>
                <w:sz w:val="26"/>
                <w:szCs w:val="26"/>
                <w:lang w:val="pt-BR"/>
              </w:rPr>
              <w:t>Điều 6. Quan hệ của Hội đồng quản lý với các cơ quan, bộ, ngành và Ủy ban nhân dân các tỉnh, thành phố trực thuộc Trung ương</w:t>
            </w:r>
          </w:p>
          <w:p w:rsidR="00A83EE3" w:rsidRDefault="00904E0F">
            <w:p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b/>
                <w:bCs/>
                <w:color w:val="000000" w:themeColor="text1"/>
                <w:sz w:val="26"/>
                <w:szCs w:val="26"/>
                <w:lang w:val="pt-BR"/>
              </w:rPr>
              <w:t>1. Đối với Bộ Nội vụ</w:t>
            </w:r>
          </w:p>
          <w:p w:rsidR="00A83EE3" w:rsidRDefault="00904E0F">
            <w:p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b/>
                <w:bCs/>
                <w:color w:val="000000" w:themeColor="text1"/>
                <w:sz w:val="26"/>
                <w:szCs w:val="26"/>
                <w:lang w:val="pt-BR"/>
              </w:rPr>
              <w:t xml:space="preserve">a) Phối hợp, tham gia xây dựng, sửa đổi, bổ sung chế độ, chính sách về bảo hiểm xã hội, bảo hiểm thất nghiệp. </w:t>
            </w:r>
          </w:p>
          <w:p w:rsidR="00A83EE3" w:rsidRDefault="00904E0F">
            <w:p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b/>
                <w:bCs/>
                <w:color w:val="000000" w:themeColor="text1"/>
                <w:sz w:val="26"/>
                <w:szCs w:val="26"/>
                <w:lang w:val="pt-BR"/>
              </w:rPr>
              <w:t xml:space="preserve">b) Phối hợp chỉ đạo, hướng dẫn và tổ chức thực hiện các quy định của pháp luật về bảo hiểm xã hội, bảo hiểm thất nghiệp. </w:t>
            </w:r>
          </w:p>
          <w:p w:rsidR="00A83EE3" w:rsidRDefault="00904E0F">
            <w:p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b/>
                <w:bCs/>
                <w:color w:val="000000" w:themeColor="text1"/>
                <w:sz w:val="26"/>
                <w:szCs w:val="26"/>
                <w:lang w:val="en-US"/>
              </w:rPr>
              <w:t>c</w:t>
            </w:r>
            <w:r>
              <w:rPr>
                <w:rFonts w:ascii="Times New Roman" w:hAnsi="Times New Roman" w:cs="Times New Roman"/>
                <w:b/>
                <w:bCs/>
                <w:color w:val="000000" w:themeColor="text1"/>
                <w:sz w:val="26"/>
                <w:szCs w:val="26"/>
                <w:lang w:val="pt-BR"/>
              </w:rPr>
              <w:t>) Kiến nghị kiểm tra, xử lý các tổ chức, cá nhân trong việc thực hiện bảo hiểm xã hội, bảo hiểm thất nghiệp theo quy định của pháp luật.</w:t>
            </w:r>
          </w:p>
          <w:p w:rsidR="00A83EE3" w:rsidRDefault="00904E0F">
            <w:p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b/>
                <w:bCs/>
                <w:color w:val="000000" w:themeColor="text1"/>
                <w:sz w:val="26"/>
                <w:szCs w:val="26"/>
                <w:lang w:val="en-US"/>
              </w:rPr>
              <w:lastRenderedPageBreak/>
              <w:t>d) Phối hợp thực hiện các nhiệm vụ khác của Bộ Nội vụ trong quản lý nhà nước về bảo hiểm xã hội, bảo hiểm thất nghiệp theo quy định của pháp luật và quy định, phân công của Chính phủ, Thủ tướng Chính phủ.</w:t>
            </w:r>
          </w:p>
        </w:tc>
        <w:tc>
          <w:tcPr>
            <w:tcW w:w="1765" w:type="pct"/>
            <w:vMerge w:val="restart"/>
            <w:vAlign w:val="center"/>
          </w:tcPr>
          <w:p w:rsidR="00A83EE3" w:rsidRDefault="00904E0F">
            <w:pPr>
              <w:spacing w:before="60" w:after="60" w:line="252"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Bổ sung mới mới Điều này. </w:t>
            </w:r>
          </w:p>
          <w:p w:rsidR="00A83EE3" w:rsidRDefault="00904E0F">
            <w:pPr>
              <w:spacing w:before="60" w:after="60" w:line="252" w:lineRule="auto"/>
              <w:rPr>
                <w:rFonts w:ascii="Times New Roman" w:hAnsi="Times New Roman" w:cs="Times New Roman"/>
                <w:sz w:val="26"/>
                <w:szCs w:val="26"/>
                <w:lang w:val="en-US"/>
              </w:rPr>
            </w:pPr>
            <w:r>
              <w:rPr>
                <w:rFonts w:ascii="Times New Roman" w:hAnsi="Times New Roman" w:cs="Times New Roman"/>
                <w:sz w:val="26"/>
                <w:szCs w:val="26"/>
                <w:u w:val="single"/>
                <w:lang w:val="en-US"/>
              </w:rPr>
              <w:t>Mục đích, lý do</w:t>
            </w:r>
            <w:r>
              <w:rPr>
                <w:rFonts w:ascii="Times New Roman" w:hAnsi="Times New Roman" w:cs="Times New Roman"/>
                <w:sz w:val="26"/>
                <w:szCs w:val="26"/>
                <w:lang w:val="en-US"/>
              </w:rPr>
              <w:t xml:space="preserve">:  </w:t>
            </w:r>
          </w:p>
          <w:p w:rsidR="00A83EE3" w:rsidRDefault="00904E0F">
            <w:pPr>
              <w:spacing w:before="60" w:after="60" w:line="252" w:lineRule="auto"/>
              <w:rPr>
                <w:rFonts w:ascii="Times New Roman" w:hAnsi="Times New Roman" w:cs="Times New Roman"/>
                <w:spacing w:val="-2"/>
                <w:sz w:val="26"/>
                <w:szCs w:val="26"/>
                <w:lang w:val="en-US"/>
              </w:rPr>
            </w:pPr>
            <w:r>
              <w:rPr>
                <w:rFonts w:ascii="Times New Roman" w:hAnsi="Times New Roman" w:cs="Times New Roman"/>
                <w:spacing w:val="-2"/>
                <w:sz w:val="26"/>
                <w:szCs w:val="26"/>
                <w:lang w:val="en-US"/>
              </w:rPr>
              <w:t xml:space="preserve">Nhằm tạo điều kiện đề Hội đồng quản lý thực hiện đầy đủ và đúng nhiệm vụ, quyền hạn với tư cách là một cơ quan </w:t>
            </w:r>
            <w:r>
              <w:rPr>
                <w:rFonts w:ascii="Times New Roman" w:hAnsi="Times New Roman" w:cs="Times New Roman"/>
                <w:sz w:val="26"/>
                <w:szCs w:val="26"/>
                <w:lang w:val="pt-BR"/>
              </w:rPr>
              <w:t xml:space="preserve">được tổ chức ở cấp quốc gia có trách nhiệm giúp Chính phủ, Thủ tướng Chính phủ chỉ đạo, giám sát hoạt động của cơ quan BHXH và tư vấn chính sách BHXH, BHTN, BHYT, đồng thời bào đảm làm rõ các trách nhiệm phối hợp của các Bộ, ngành cơ quan liên quan trong quá trình thực hiện nhiệm vụ, phối hợp với Hội đồng quản lý, dự thảo </w:t>
            </w:r>
            <w:r>
              <w:rPr>
                <w:rFonts w:ascii="Times New Roman" w:hAnsi="Times New Roman" w:cs="Times New Roman"/>
                <w:spacing w:val="-2"/>
                <w:sz w:val="26"/>
                <w:szCs w:val="26"/>
                <w:lang w:val="en-US"/>
              </w:rPr>
              <w:t xml:space="preserve">Nghị định thiết kế riêng 01 điều để quy định về quan hệ của Hội đồng quản lý với các Bộ, ngành liên quan, bao gồm: Bộ Nội vụ, Bộ Tài chính, Bộ Y tế, Kiểm toán </w:t>
            </w:r>
            <w:r>
              <w:rPr>
                <w:rFonts w:ascii="Times New Roman" w:hAnsi="Times New Roman" w:cs="Times New Roman"/>
                <w:spacing w:val="-2"/>
                <w:sz w:val="26"/>
                <w:szCs w:val="26"/>
                <w:lang w:val="en-US"/>
              </w:rPr>
              <w:lastRenderedPageBreak/>
              <w:t>Nhà nước và BHXH Việt Nam cũng như quan hệ phối hợp của Hội đồng quản lý với Uỷ ban nhân dân các tỉnh, thành phố trực thuộc Trung ương.</w:t>
            </w:r>
          </w:p>
          <w:p w:rsidR="00A83EE3" w:rsidRDefault="00904E0F">
            <w:pPr>
              <w:spacing w:before="60" w:after="60" w:line="252" w:lineRule="auto"/>
              <w:rPr>
                <w:rFonts w:ascii="Times New Roman" w:hAnsi="Times New Roman" w:cs="Times New Roman"/>
                <w:spacing w:val="-2"/>
                <w:sz w:val="26"/>
                <w:szCs w:val="26"/>
                <w:lang w:val="en-US"/>
              </w:rPr>
            </w:pPr>
            <w:r>
              <w:rPr>
                <w:rFonts w:ascii="Times New Roman" w:hAnsi="Times New Roman" w:cs="Times New Roman"/>
                <w:spacing w:val="-2"/>
                <w:sz w:val="26"/>
                <w:szCs w:val="26"/>
                <w:lang w:val="en-US"/>
              </w:rPr>
              <w:t xml:space="preserve">Các quy định cụ thể tại điều này căn cứ vào chức năng, nhiệm vụ, quyền hạn và mối quan hệ phối hợp của các Bộ, ngành, cơ quan, đơn vị theo các văn bản quy định pháp luật có liên quan và các Nghị định, quyết định về chức năng, nhiệm vụ, quyền hạn và cơ cấu tổ chức bộ máy của các cơ quan, đơn vị do cấp có thẩm quyền ban hành.  </w:t>
            </w:r>
            <w:r>
              <w:rPr>
                <w:rFonts w:ascii="Times New Roman" w:hAnsi="Times New Roman" w:cs="Times New Roman"/>
                <w:color w:val="000000" w:themeColor="text1"/>
                <w:sz w:val="26"/>
                <w:szCs w:val="26"/>
                <w:lang w:val="pt-BR"/>
              </w:rPr>
              <w:t xml:space="preserve"> </w:t>
            </w:r>
          </w:p>
        </w:tc>
      </w:tr>
      <w:tr w:rsidR="00A83EE3">
        <w:trPr>
          <w:trHeight w:val="312"/>
        </w:trPr>
        <w:tc>
          <w:tcPr>
            <w:tcW w:w="1617" w:type="pct"/>
          </w:tcPr>
          <w:p w:rsidR="00A83EE3" w:rsidRDefault="00A83EE3">
            <w:pPr>
              <w:spacing w:before="60" w:after="60" w:line="252" w:lineRule="auto"/>
              <w:rPr>
                <w:rFonts w:ascii="Times New Roman" w:hAnsi="Times New Roman" w:cs="Times New Roman"/>
                <w:color w:val="000000" w:themeColor="text1"/>
                <w:sz w:val="26"/>
                <w:szCs w:val="26"/>
                <w:lang w:val="pt-BR"/>
              </w:rPr>
            </w:pPr>
          </w:p>
        </w:tc>
        <w:tc>
          <w:tcPr>
            <w:tcW w:w="1616" w:type="pct"/>
            <w:shd w:val="clear" w:color="auto" w:fill="auto"/>
            <w:vAlign w:val="center"/>
          </w:tcPr>
          <w:p w:rsidR="00A83EE3" w:rsidRDefault="00904E0F">
            <w:p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b/>
                <w:bCs/>
                <w:color w:val="000000" w:themeColor="text1"/>
                <w:sz w:val="26"/>
                <w:szCs w:val="26"/>
                <w:lang w:val="pt-BR"/>
              </w:rPr>
              <w:t xml:space="preserve">2. Đối với Bộ Tài chính </w:t>
            </w:r>
          </w:p>
          <w:p w:rsidR="00A83EE3" w:rsidRDefault="00904E0F">
            <w:pPr>
              <w:spacing w:before="60" w:after="60" w:line="252" w:lineRule="auto"/>
              <w:rPr>
                <w:rFonts w:ascii="Times New Roman" w:hAnsi="Times New Roman" w:cs="Times New Roman"/>
                <w:sz w:val="28"/>
              </w:rPr>
            </w:pPr>
            <w:r>
              <w:rPr>
                <w:rFonts w:ascii="Times New Roman" w:hAnsi="Times New Roman" w:cs="Times New Roman"/>
                <w:b/>
                <w:bCs/>
                <w:color w:val="000000" w:themeColor="text1"/>
                <w:sz w:val="26"/>
                <w:szCs w:val="26"/>
                <w:lang w:val="pt-BR"/>
              </w:rPr>
              <w:t xml:space="preserve">a) Phối hợp, tham gia xây dựng, sửa đổi, bổ sung cơ chế </w:t>
            </w:r>
            <w:r>
              <w:rPr>
                <w:rFonts w:ascii="Times New Roman" w:hAnsi="Times New Roman" w:cs="Times New Roman"/>
                <w:b/>
                <w:bCs/>
                <w:sz w:val="26"/>
                <w:szCs w:val="26"/>
              </w:rPr>
              <w:t>tài chính bảo hiểm xã hội, bảo hiểm thất nghiệp, bảo hiểm y tế; đầu tư quỹ bảo hiểm xã hội, bảo hiểm thất nghiệp, bảo hiểm y tế; chi tổ chức và hoạt động bảo hiểm xã hội, bảo hiểm thất nghiệp, bảo hiểm y tế</w:t>
            </w:r>
            <w:r>
              <w:rPr>
                <w:rFonts w:ascii="Times New Roman" w:hAnsi="Times New Roman" w:cs="Times New Roman"/>
                <w:b/>
                <w:bCs/>
                <w:sz w:val="26"/>
                <w:szCs w:val="26"/>
                <w:lang w:val="en-US"/>
              </w:rPr>
              <w:t xml:space="preserve">; </w:t>
            </w:r>
            <w:r>
              <w:rPr>
                <w:rFonts w:ascii="Times New Roman" w:hAnsi="Times New Roman" w:cs="Times New Roman"/>
                <w:b/>
                <w:bCs/>
                <w:sz w:val="26"/>
                <w:szCs w:val="26"/>
              </w:rPr>
              <w:t xml:space="preserve">chính sách, pháp luật về bảo hiểm hưu trí bổ sung. </w:t>
            </w:r>
          </w:p>
          <w:p w:rsidR="00A83EE3" w:rsidRDefault="00904E0F">
            <w:pPr>
              <w:spacing w:before="60" w:after="60" w:line="252" w:lineRule="auto"/>
              <w:rPr>
                <w:rFonts w:ascii="Times New Roman" w:hAnsi="Times New Roman" w:cs="Times New Roman"/>
                <w:b/>
                <w:bCs/>
                <w:sz w:val="26"/>
                <w:szCs w:val="26"/>
              </w:rPr>
            </w:pPr>
            <w:r>
              <w:rPr>
                <w:rFonts w:ascii="Times New Roman" w:hAnsi="Times New Roman" w:cs="Times New Roman"/>
                <w:b/>
                <w:bCs/>
                <w:color w:val="000000" w:themeColor="text1"/>
                <w:sz w:val="26"/>
                <w:szCs w:val="26"/>
                <w:lang w:val="pt-BR"/>
              </w:rPr>
              <w:t xml:space="preserve">b) Phối hợp chỉ đạo, giám sát việc quản lý và sử dụng </w:t>
            </w:r>
            <w:r w:rsidR="00B45DC5">
              <w:rPr>
                <w:rFonts w:ascii="Times New Roman" w:hAnsi="Times New Roman" w:cs="Times New Roman"/>
                <w:b/>
                <w:bCs/>
                <w:color w:val="000000" w:themeColor="text1"/>
                <w:sz w:val="26"/>
                <w:szCs w:val="26"/>
                <w:lang w:val="pt-BR"/>
              </w:rPr>
              <w:t xml:space="preserve">quỹ </w:t>
            </w:r>
            <w:r>
              <w:rPr>
                <w:rFonts w:ascii="Times New Roman" w:hAnsi="Times New Roman" w:cs="Times New Roman"/>
                <w:b/>
                <w:bCs/>
                <w:color w:val="000000" w:themeColor="text1"/>
                <w:sz w:val="26"/>
                <w:szCs w:val="26"/>
                <w:lang w:val="pt-BR"/>
              </w:rPr>
              <w:t>bảo hiểm xã hội,</w:t>
            </w:r>
            <w:r w:rsidR="00B45DC5">
              <w:rPr>
                <w:rFonts w:ascii="Times New Roman" w:hAnsi="Times New Roman" w:cs="Times New Roman"/>
                <w:b/>
                <w:bCs/>
                <w:color w:val="000000" w:themeColor="text1"/>
                <w:sz w:val="26"/>
                <w:szCs w:val="26"/>
                <w:lang w:val="pt-BR"/>
              </w:rPr>
              <w:t xml:space="preserve"> quỹ</w:t>
            </w:r>
            <w:r>
              <w:rPr>
                <w:rFonts w:ascii="Times New Roman" w:hAnsi="Times New Roman" w:cs="Times New Roman"/>
                <w:b/>
                <w:bCs/>
                <w:color w:val="000000" w:themeColor="text1"/>
                <w:sz w:val="26"/>
                <w:szCs w:val="26"/>
                <w:lang w:val="pt-BR"/>
              </w:rPr>
              <w:t xml:space="preserve"> bảo hiểm thất nghiệp, </w:t>
            </w:r>
            <w:r w:rsidR="00B45DC5">
              <w:rPr>
                <w:rFonts w:ascii="Times New Roman" w:hAnsi="Times New Roman" w:cs="Times New Roman"/>
                <w:b/>
                <w:bCs/>
                <w:color w:val="000000" w:themeColor="text1"/>
                <w:sz w:val="26"/>
                <w:szCs w:val="26"/>
                <w:lang w:val="pt-BR"/>
              </w:rPr>
              <w:t xml:space="preserve">quỹ </w:t>
            </w:r>
            <w:r>
              <w:rPr>
                <w:rFonts w:ascii="Times New Roman" w:hAnsi="Times New Roman" w:cs="Times New Roman"/>
                <w:b/>
                <w:bCs/>
                <w:color w:val="000000" w:themeColor="text1"/>
                <w:sz w:val="26"/>
                <w:szCs w:val="26"/>
                <w:lang w:val="pt-BR"/>
              </w:rPr>
              <w:t xml:space="preserve">bảo hiểm y tế. </w:t>
            </w:r>
          </w:p>
          <w:p w:rsidR="00A83EE3" w:rsidRDefault="00904E0F">
            <w:pPr>
              <w:spacing w:before="60" w:after="60" w:line="252" w:lineRule="auto"/>
              <w:rPr>
                <w:rFonts w:ascii="Times New Roman" w:hAnsi="Times New Roman" w:cs="Times New Roman"/>
                <w:b/>
                <w:bCs/>
                <w:sz w:val="26"/>
                <w:szCs w:val="26"/>
              </w:rPr>
            </w:pPr>
            <w:r>
              <w:rPr>
                <w:rFonts w:ascii="Times New Roman" w:hAnsi="Times New Roman" w:cs="Times New Roman"/>
                <w:b/>
                <w:bCs/>
                <w:color w:val="000000" w:themeColor="text1"/>
                <w:sz w:val="26"/>
                <w:szCs w:val="26"/>
                <w:lang w:val="pt-BR"/>
              </w:rPr>
              <w:t>c) Phối hợp chỉ đạo, hướng dẫn và tổ chức thực hiện các quy định của pháp luật về chế độ tài chính đối với các quỹ bảo hiểm xã hội, bảo hiểm thất nghiệp, bảo hiểm y tế.</w:t>
            </w:r>
          </w:p>
          <w:p w:rsidR="00A83EE3" w:rsidRDefault="00904E0F">
            <w:p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b/>
                <w:bCs/>
                <w:color w:val="000000" w:themeColor="text1"/>
                <w:sz w:val="26"/>
                <w:szCs w:val="26"/>
                <w:lang w:val="pt-BR"/>
              </w:rPr>
              <w:t xml:space="preserve">d) Kiến nghị kiểm tra, xử lý các tổ chức, cá nhân trong việc thực hiện các quy định của pháp luật về cơ chế quản lý và sử dụng quỹ bảo hiểm xã hội, bảo hiểm thất nghiệp, bảo hiểm y tế. </w:t>
            </w:r>
          </w:p>
          <w:p w:rsidR="00A83EE3" w:rsidRDefault="00904E0F" w:rsidP="00B45DC5">
            <w:p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b/>
                <w:sz w:val="26"/>
                <w:szCs w:val="26"/>
              </w:rPr>
              <w:lastRenderedPageBreak/>
              <w:t>đ</w:t>
            </w:r>
            <w:r>
              <w:rPr>
                <w:rFonts w:ascii="Times New Roman" w:hAnsi="Times New Roman" w:cs="Times New Roman"/>
                <w:b/>
                <w:color w:val="000000" w:themeColor="text1"/>
                <w:sz w:val="26"/>
                <w:szCs w:val="26"/>
              </w:rPr>
              <w:t xml:space="preserve">) Phối hợp thực hiện các nhiệm vụ khác của Bộ Tài chính trong quản lý và sử dụng </w:t>
            </w:r>
            <w:r w:rsidR="00B45DC5">
              <w:rPr>
                <w:rFonts w:ascii="Times New Roman" w:hAnsi="Times New Roman" w:cs="Times New Roman"/>
                <w:b/>
                <w:color w:val="000000" w:themeColor="text1"/>
                <w:sz w:val="26"/>
                <w:szCs w:val="26"/>
                <w:lang w:val="en-US"/>
              </w:rPr>
              <w:t xml:space="preserve">quỹ </w:t>
            </w:r>
            <w:r>
              <w:rPr>
                <w:rFonts w:ascii="Times New Roman" w:hAnsi="Times New Roman" w:cs="Times New Roman"/>
                <w:b/>
                <w:color w:val="000000" w:themeColor="text1"/>
                <w:sz w:val="26"/>
                <w:szCs w:val="26"/>
              </w:rPr>
              <w:t xml:space="preserve">bảo hiểm xã hội, </w:t>
            </w:r>
            <w:r w:rsidR="00B45DC5">
              <w:rPr>
                <w:rFonts w:ascii="Times New Roman" w:hAnsi="Times New Roman" w:cs="Times New Roman"/>
                <w:b/>
                <w:color w:val="000000" w:themeColor="text1"/>
                <w:sz w:val="26"/>
                <w:szCs w:val="26"/>
                <w:lang w:val="en-US"/>
              </w:rPr>
              <w:t xml:space="preserve">quỹ </w:t>
            </w:r>
            <w:r>
              <w:rPr>
                <w:rFonts w:ascii="Times New Roman" w:hAnsi="Times New Roman" w:cs="Times New Roman"/>
                <w:b/>
                <w:color w:val="000000" w:themeColor="text1"/>
                <w:sz w:val="26"/>
                <w:szCs w:val="26"/>
              </w:rPr>
              <w:t xml:space="preserve">bảo hiểm thất nghiệp, </w:t>
            </w:r>
            <w:r w:rsidR="00B45DC5">
              <w:rPr>
                <w:rFonts w:ascii="Times New Roman" w:hAnsi="Times New Roman" w:cs="Times New Roman"/>
                <w:b/>
                <w:color w:val="000000" w:themeColor="text1"/>
                <w:sz w:val="26"/>
                <w:szCs w:val="26"/>
                <w:lang w:val="en-US"/>
              </w:rPr>
              <w:t xml:space="preserve">quỹ </w:t>
            </w:r>
            <w:r>
              <w:rPr>
                <w:rFonts w:ascii="Times New Roman" w:hAnsi="Times New Roman" w:cs="Times New Roman"/>
                <w:b/>
                <w:color w:val="000000" w:themeColor="text1"/>
                <w:sz w:val="26"/>
                <w:szCs w:val="26"/>
              </w:rPr>
              <w:t xml:space="preserve">bảo hiểm </w:t>
            </w:r>
            <w:bookmarkStart w:id="5" w:name="_GoBack"/>
            <w:bookmarkEnd w:id="5"/>
            <w:r>
              <w:rPr>
                <w:rFonts w:ascii="Times New Roman" w:hAnsi="Times New Roman" w:cs="Times New Roman"/>
                <w:b/>
                <w:color w:val="000000" w:themeColor="text1"/>
                <w:sz w:val="26"/>
                <w:szCs w:val="26"/>
              </w:rPr>
              <w:t>y tế theo quy định của pháp luật và phân công của Chính phủ, Thủ tướng Chính phủ</w:t>
            </w:r>
          </w:p>
        </w:tc>
        <w:tc>
          <w:tcPr>
            <w:tcW w:w="1765" w:type="pct"/>
            <w:vMerge/>
            <w:vAlign w:val="center"/>
          </w:tcPr>
          <w:p w:rsidR="00A83EE3" w:rsidRDefault="00A83EE3">
            <w:pPr>
              <w:spacing w:before="60" w:after="60" w:line="252" w:lineRule="auto"/>
              <w:rPr>
                <w:rFonts w:ascii="Times New Roman" w:hAnsi="Times New Roman" w:cs="Times New Roman"/>
                <w:sz w:val="26"/>
                <w:szCs w:val="26"/>
                <w:lang w:val="en-US"/>
              </w:rPr>
            </w:pPr>
          </w:p>
        </w:tc>
      </w:tr>
      <w:tr w:rsidR="00A83EE3">
        <w:trPr>
          <w:trHeight w:val="312"/>
        </w:trPr>
        <w:tc>
          <w:tcPr>
            <w:tcW w:w="1617" w:type="pct"/>
          </w:tcPr>
          <w:p w:rsidR="00A83EE3" w:rsidRDefault="00A83EE3">
            <w:pPr>
              <w:spacing w:before="60" w:after="60" w:line="252" w:lineRule="auto"/>
              <w:rPr>
                <w:rFonts w:ascii="Times New Roman" w:hAnsi="Times New Roman" w:cs="Times New Roman"/>
                <w:color w:val="000000" w:themeColor="text1"/>
                <w:sz w:val="26"/>
                <w:szCs w:val="26"/>
                <w:lang w:val="pt-BR"/>
              </w:rPr>
            </w:pPr>
          </w:p>
        </w:tc>
        <w:tc>
          <w:tcPr>
            <w:tcW w:w="1616" w:type="pct"/>
            <w:shd w:val="clear" w:color="auto" w:fill="auto"/>
            <w:vAlign w:val="center"/>
          </w:tcPr>
          <w:p w:rsidR="00A83EE3" w:rsidRDefault="00904E0F">
            <w:p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b/>
                <w:bCs/>
                <w:color w:val="000000" w:themeColor="text1"/>
                <w:sz w:val="26"/>
                <w:szCs w:val="26"/>
                <w:lang w:val="pt-BR"/>
              </w:rPr>
              <w:t>3. Đối với Bộ Y tế</w:t>
            </w:r>
          </w:p>
          <w:p w:rsidR="00A83EE3" w:rsidRDefault="00904E0F">
            <w:p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b/>
                <w:bCs/>
                <w:color w:val="000000" w:themeColor="text1"/>
                <w:sz w:val="26"/>
                <w:szCs w:val="26"/>
                <w:lang w:val="pt-BR"/>
              </w:rPr>
              <w:t>a) Phối hợp, tham gia xây dựng, sửa đổi, bổ sung chế độ, chính sách về bảo hiểm y tế, chiến lược, kế hoạch tổng thể phát triển bảo hiểm y tế;</w:t>
            </w:r>
          </w:p>
          <w:p w:rsidR="00A83EE3" w:rsidRDefault="00904E0F">
            <w:p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b/>
                <w:bCs/>
                <w:color w:val="000000" w:themeColor="text1"/>
                <w:sz w:val="26"/>
                <w:szCs w:val="26"/>
                <w:lang w:val="pt-BR"/>
              </w:rPr>
              <w:t xml:space="preserve">b) Phối hợp chỉ đạo, hướng dẫn và tổ chức việc thực hiện các quy định của pháp luật về bảo hiểm y tế; </w:t>
            </w:r>
          </w:p>
          <w:p w:rsidR="00A83EE3" w:rsidRDefault="00904E0F">
            <w:p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b/>
                <w:bCs/>
                <w:color w:val="000000" w:themeColor="text1"/>
                <w:sz w:val="26"/>
                <w:szCs w:val="26"/>
                <w:lang w:val="pt-BR"/>
              </w:rPr>
              <w:t>c) Kiến nghị kiểm tra, xử lý các tổ chức, cá nhân trong việc thực hiện bảo hiểm y tế theo quy định của pháp luật.</w:t>
            </w:r>
          </w:p>
          <w:p w:rsidR="00A83EE3" w:rsidRDefault="00904E0F">
            <w:p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b/>
                <w:bCs/>
                <w:color w:val="000000" w:themeColor="text1"/>
                <w:sz w:val="26"/>
                <w:szCs w:val="26"/>
                <w:lang w:val="en-US"/>
              </w:rPr>
              <w:t>d) Phối hợp thực hiện các nhiệm vụ khác của Bộ y tế trong quản lý nhà nước về bảo hiểm y tế, bảo hiểm xã hội theo quy định của pháp luật và quy định, phân công của Chính phủ, Thủ tướng Chính phủ.</w:t>
            </w:r>
          </w:p>
        </w:tc>
        <w:tc>
          <w:tcPr>
            <w:tcW w:w="1765" w:type="pct"/>
            <w:vMerge/>
            <w:vAlign w:val="center"/>
          </w:tcPr>
          <w:p w:rsidR="00A83EE3" w:rsidRDefault="00A83EE3">
            <w:pPr>
              <w:spacing w:before="60" w:after="60" w:line="252" w:lineRule="auto"/>
              <w:rPr>
                <w:rFonts w:ascii="Times New Roman" w:hAnsi="Times New Roman" w:cs="Times New Roman"/>
                <w:sz w:val="26"/>
                <w:szCs w:val="26"/>
                <w:lang w:val="en-US"/>
              </w:rPr>
            </w:pPr>
          </w:p>
        </w:tc>
      </w:tr>
      <w:tr w:rsidR="00A83EE3">
        <w:trPr>
          <w:trHeight w:val="312"/>
        </w:trPr>
        <w:tc>
          <w:tcPr>
            <w:tcW w:w="1617" w:type="pct"/>
          </w:tcPr>
          <w:p w:rsidR="00A83EE3" w:rsidRDefault="00A83EE3">
            <w:pPr>
              <w:spacing w:before="60" w:after="60" w:line="252" w:lineRule="auto"/>
              <w:rPr>
                <w:rFonts w:ascii="Times New Roman" w:hAnsi="Times New Roman" w:cs="Times New Roman"/>
                <w:color w:val="000000" w:themeColor="text1"/>
                <w:sz w:val="26"/>
                <w:szCs w:val="26"/>
                <w:lang w:val="pt-BR"/>
              </w:rPr>
            </w:pPr>
          </w:p>
        </w:tc>
        <w:tc>
          <w:tcPr>
            <w:tcW w:w="1616" w:type="pct"/>
            <w:shd w:val="clear" w:color="auto" w:fill="auto"/>
            <w:vAlign w:val="center"/>
          </w:tcPr>
          <w:p w:rsidR="00A83EE3" w:rsidRDefault="00904E0F">
            <w:p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b/>
                <w:bCs/>
                <w:color w:val="000000" w:themeColor="text1"/>
                <w:sz w:val="26"/>
                <w:szCs w:val="26"/>
                <w:lang w:val="pt-BR"/>
              </w:rPr>
              <w:t>4. Đối với Kiểm toán Nhà nước</w:t>
            </w:r>
          </w:p>
          <w:p w:rsidR="00A83EE3" w:rsidRDefault="00904E0F">
            <w:pPr>
              <w:spacing w:before="60" w:after="60" w:line="252" w:lineRule="auto"/>
              <w:rPr>
                <w:rFonts w:ascii="Times New Roman" w:hAnsi="Times New Roman" w:cs="Times New Roman"/>
                <w:b/>
                <w:bCs/>
                <w:iCs/>
                <w:spacing w:val="-2"/>
                <w:sz w:val="26"/>
                <w:szCs w:val="26"/>
              </w:rPr>
            </w:pPr>
            <w:r>
              <w:rPr>
                <w:rFonts w:ascii="Times New Roman" w:hAnsi="Times New Roman" w:cs="Times New Roman"/>
                <w:b/>
                <w:bCs/>
                <w:spacing w:val="-2"/>
                <w:sz w:val="26"/>
                <w:szCs w:val="26"/>
                <w:lang w:val="en-US"/>
              </w:rPr>
              <w:t>P</w:t>
            </w:r>
            <w:r>
              <w:rPr>
                <w:rFonts w:ascii="Times New Roman" w:hAnsi="Times New Roman" w:cs="Times New Roman"/>
                <w:b/>
                <w:bCs/>
                <w:spacing w:val="-2"/>
                <w:sz w:val="26"/>
                <w:szCs w:val="26"/>
              </w:rPr>
              <w:t>hối hợp</w:t>
            </w:r>
            <w:r>
              <w:rPr>
                <w:rFonts w:ascii="Times New Roman" w:hAnsi="Times New Roman" w:cs="Times New Roman"/>
                <w:b/>
                <w:bCs/>
                <w:spacing w:val="-2"/>
                <w:sz w:val="26"/>
                <w:szCs w:val="26"/>
                <w:lang w:val="en-US"/>
              </w:rPr>
              <w:t xml:space="preserve"> đôn đốc, giám sát việc thực hiện các kiến nghị, kết luận của Kiểm toán Nhà nước trong thực hiện kiểm toán hằng năm đối với </w:t>
            </w:r>
            <w:r>
              <w:rPr>
                <w:rFonts w:ascii="Times New Roman" w:hAnsi="Times New Roman" w:cs="Times New Roman"/>
                <w:b/>
                <w:bCs/>
                <w:iCs/>
                <w:spacing w:val="-2"/>
                <w:sz w:val="26"/>
                <w:szCs w:val="26"/>
              </w:rPr>
              <w:t xml:space="preserve">báo cáo quyết toán chi tổ chức và </w:t>
            </w:r>
            <w:r>
              <w:rPr>
                <w:rFonts w:ascii="Times New Roman" w:hAnsi="Times New Roman" w:cs="Times New Roman"/>
                <w:b/>
                <w:bCs/>
                <w:iCs/>
                <w:spacing w:val="-2"/>
                <w:sz w:val="26"/>
                <w:szCs w:val="26"/>
              </w:rPr>
              <w:lastRenderedPageBreak/>
              <w:t>hoạt động BHXH theo quy định của pháp luật.</w:t>
            </w:r>
          </w:p>
        </w:tc>
        <w:tc>
          <w:tcPr>
            <w:tcW w:w="1765" w:type="pct"/>
            <w:vMerge/>
            <w:vAlign w:val="center"/>
          </w:tcPr>
          <w:p w:rsidR="00A83EE3" w:rsidRDefault="00A83EE3">
            <w:pPr>
              <w:spacing w:before="60" w:after="60" w:line="252" w:lineRule="auto"/>
              <w:rPr>
                <w:rFonts w:ascii="Times New Roman" w:hAnsi="Times New Roman" w:cs="Times New Roman"/>
                <w:sz w:val="26"/>
                <w:szCs w:val="26"/>
                <w:lang w:val="en-US"/>
              </w:rPr>
            </w:pPr>
          </w:p>
        </w:tc>
      </w:tr>
      <w:tr w:rsidR="00A83EE3">
        <w:trPr>
          <w:trHeight w:val="312"/>
        </w:trPr>
        <w:tc>
          <w:tcPr>
            <w:tcW w:w="1617" w:type="pct"/>
          </w:tcPr>
          <w:p w:rsidR="00A83EE3" w:rsidRDefault="00A83EE3">
            <w:pPr>
              <w:spacing w:before="60" w:after="60" w:line="252" w:lineRule="auto"/>
              <w:rPr>
                <w:rFonts w:ascii="Times New Roman" w:hAnsi="Times New Roman" w:cs="Times New Roman"/>
                <w:color w:val="000000" w:themeColor="text1"/>
                <w:sz w:val="26"/>
                <w:szCs w:val="26"/>
                <w:lang w:val="pt-BR"/>
              </w:rPr>
            </w:pPr>
          </w:p>
        </w:tc>
        <w:tc>
          <w:tcPr>
            <w:tcW w:w="1616" w:type="pct"/>
            <w:shd w:val="clear" w:color="auto" w:fill="auto"/>
            <w:vAlign w:val="center"/>
          </w:tcPr>
          <w:p w:rsidR="00A83EE3" w:rsidRDefault="00904E0F">
            <w:p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b/>
                <w:bCs/>
                <w:color w:val="000000" w:themeColor="text1"/>
                <w:sz w:val="26"/>
                <w:szCs w:val="26"/>
                <w:lang w:val="en-US"/>
              </w:rPr>
              <w:t>5</w:t>
            </w:r>
            <w:r>
              <w:rPr>
                <w:rFonts w:ascii="Times New Roman" w:hAnsi="Times New Roman" w:cs="Times New Roman"/>
                <w:b/>
                <w:bCs/>
                <w:color w:val="000000" w:themeColor="text1"/>
                <w:sz w:val="26"/>
                <w:szCs w:val="26"/>
                <w:lang w:val="pt-BR"/>
              </w:rPr>
              <w:t>. Đối với Bảo hiểm xã hội Việt Nam</w:t>
            </w:r>
          </w:p>
          <w:p w:rsidR="00A83EE3" w:rsidRDefault="00904E0F">
            <w:p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b/>
                <w:bCs/>
                <w:color w:val="000000" w:themeColor="text1"/>
                <w:sz w:val="26"/>
                <w:szCs w:val="26"/>
                <w:lang w:val="pt-BR"/>
              </w:rPr>
              <w:t xml:space="preserve">a) Phối hợp với Bộ Tài chính chỉ đạo Bảo hiểm xã hội Việt Nam tổ chức thực hiện các nhiệm vụ, quyền hạn liên quan đến Hội đồng quản lý theo quy định tại Luật Bảo hiểm xã hội và Nghị định này. </w:t>
            </w:r>
          </w:p>
          <w:p w:rsidR="00A83EE3" w:rsidRDefault="00904E0F">
            <w:pPr>
              <w:spacing w:before="60" w:after="60" w:line="252" w:lineRule="auto"/>
              <w:rPr>
                <w:rFonts w:ascii="Times New Roman" w:hAnsi="Times New Roman" w:cs="Times New Roman"/>
                <w:b/>
                <w:bCs/>
                <w:color w:val="000000" w:themeColor="text1"/>
                <w:sz w:val="26"/>
                <w:szCs w:val="26"/>
                <w:lang w:val="en-US"/>
              </w:rPr>
            </w:pPr>
            <w:r>
              <w:rPr>
                <w:rFonts w:ascii="Times New Roman" w:hAnsi="Times New Roman" w:cs="Times New Roman"/>
                <w:b/>
                <w:bCs/>
                <w:color w:val="000000" w:themeColor="text1"/>
                <w:sz w:val="26"/>
                <w:szCs w:val="26"/>
                <w:lang w:val="pt-BR"/>
              </w:rPr>
              <w:t>b) Bảo hiểm xã hội Việt Nam chịu sự kiểm tra, giám sát của Hội đồng quản lý đối với việc thực hiện các chiến lược, kế hoạch, đề án, phương án sau khi được các cơ quan có thẩm quyền thông qua và phê duyệt và việc thực hiện các nghị quyết, kết luận của Hội đồng quản lý</w:t>
            </w:r>
            <w:r>
              <w:rPr>
                <w:rFonts w:ascii="Times New Roman" w:hAnsi="Times New Roman" w:cs="Times New Roman"/>
                <w:b/>
                <w:bCs/>
                <w:color w:val="000000" w:themeColor="text1"/>
                <w:sz w:val="26"/>
                <w:szCs w:val="26"/>
                <w:lang w:val="en-US"/>
              </w:rPr>
              <w:t xml:space="preserve">. </w:t>
            </w:r>
          </w:p>
          <w:p w:rsidR="00A83EE3" w:rsidRDefault="00904E0F">
            <w:p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b/>
                <w:bCs/>
                <w:color w:val="000000" w:themeColor="text1"/>
                <w:sz w:val="26"/>
                <w:szCs w:val="26"/>
                <w:lang w:val="pt-BR"/>
              </w:rPr>
              <w:t xml:space="preserve">c) Ngoài các nội dung, nhiệm vụ nêu trên, đối với các nội dung, nhiệm vụ khác cơ quan bảo hiểm xã hội chịu trách nhiệm trước Quốc hội, Chính phủ, Thủ tướng Chính phủ và Bộ Tài chính theo quy định của pháp luật. </w:t>
            </w:r>
          </w:p>
        </w:tc>
        <w:tc>
          <w:tcPr>
            <w:tcW w:w="1765" w:type="pct"/>
            <w:vMerge/>
            <w:vAlign w:val="center"/>
          </w:tcPr>
          <w:p w:rsidR="00A83EE3" w:rsidRDefault="00A83EE3">
            <w:pPr>
              <w:spacing w:before="60" w:after="60" w:line="252" w:lineRule="auto"/>
              <w:rPr>
                <w:rFonts w:ascii="Times New Roman" w:hAnsi="Times New Roman" w:cs="Times New Roman"/>
                <w:sz w:val="26"/>
                <w:szCs w:val="26"/>
                <w:lang w:val="en-US"/>
              </w:rPr>
            </w:pPr>
          </w:p>
        </w:tc>
      </w:tr>
      <w:tr w:rsidR="00A83EE3">
        <w:trPr>
          <w:trHeight w:val="312"/>
        </w:trPr>
        <w:tc>
          <w:tcPr>
            <w:tcW w:w="1617" w:type="pct"/>
          </w:tcPr>
          <w:p w:rsidR="00A83EE3" w:rsidRDefault="00A83EE3">
            <w:pPr>
              <w:spacing w:before="60" w:after="60" w:line="252" w:lineRule="auto"/>
              <w:rPr>
                <w:rFonts w:ascii="Times New Roman" w:hAnsi="Times New Roman" w:cs="Times New Roman"/>
                <w:color w:val="000000" w:themeColor="text1"/>
                <w:sz w:val="26"/>
                <w:szCs w:val="26"/>
                <w:lang w:val="pt-BR"/>
              </w:rPr>
            </w:pPr>
          </w:p>
        </w:tc>
        <w:tc>
          <w:tcPr>
            <w:tcW w:w="1616" w:type="pct"/>
            <w:shd w:val="clear" w:color="auto" w:fill="auto"/>
            <w:vAlign w:val="center"/>
          </w:tcPr>
          <w:p w:rsidR="00A83EE3" w:rsidRDefault="00904E0F">
            <w:p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b/>
                <w:bCs/>
                <w:color w:val="000000" w:themeColor="text1"/>
                <w:sz w:val="26"/>
                <w:szCs w:val="26"/>
                <w:lang w:val="en-US"/>
              </w:rPr>
              <w:t>6</w:t>
            </w:r>
            <w:r>
              <w:rPr>
                <w:rFonts w:ascii="Times New Roman" w:hAnsi="Times New Roman" w:cs="Times New Roman"/>
                <w:b/>
                <w:bCs/>
                <w:color w:val="000000" w:themeColor="text1"/>
                <w:sz w:val="26"/>
                <w:szCs w:val="26"/>
                <w:lang w:val="pt-BR"/>
              </w:rPr>
              <w:t xml:space="preserve">. Đối với Ủy ban nhân dân các tỉnh, thành phố trực thuộc Trung ương </w:t>
            </w:r>
          </w:p>
          <w:p w:rsidR="00A83EE3" w:rsidRDefault="00904E0F">
            <w:p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b/>
                <w:bCs/>
                <w:color w:val="000000" w:themeColor="text1"/>
                <w:sz w:val="26"/>
                <w:szCs w:val="26"/>
                <w:lang w:val="pt-BR"/>
              </w:rPr>
              <w:t>a) Phối hợp chỉ đạo, tổ chức thực hiện chính sách, pháp luật về bảo hiểm xã hội, bảo hiểm thất nghiệp, bảo hiểm y tế;</w:t>
            </w:r>
          </w:p>
          <w:p w:rsidR="00A83EE3" w:rsidRDefault="00904E0F">
            <w:p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b/>
                <w:bCs/>
                <w:color w:val="000000" w:themeColor="text1"/>
                <w:sz w:val="26"/>
                <w:szCs w:val="26"/>
                <w:lang w:val="pt-BR"/>
              </w:rPr>
              <w:t xml:space="preserve">b) Phối hợp, trao đổi, kiến nghị việc xây dựng, sửa đổi, bổ sung chế độ, chính sách </w:t>
            </w:r>
            <w:r>
              <w:rPr>
                <w:rFonts w:ascii="Times New Roman" w:hAnsi="Times New Roman" w:cs="Times New Roman"/>
                <w:b/>
                <w:bCs/>
                <w:color w:val="000000" w:themeColor="text1"/>
                <w:sz w:val="26"/>
                <w:szCs w:val="26"/>
                <w:lang w:val="pt-BR"/>
              </w:rPr>
              <w:lastRenderedPageBreak/>
              <w:t xml:space="preserve">về bảo hiểm xã hội, bảo hiểm thất nghiệp, bảo hiểm y tế; </w:t>
            </w:r>
          </w:p>
          <w:p w:rsidR="00A83EE3" w:rsidRDefault="00904E0F">
            <w:pPr>
              <w:spacing w:before="60" w:after="60" w:line="252" w:lineRule="auto"/>
              <w:rPr>
                <w:rFonts w:ascii="Times New Roman" w:hAnsi="Times New Roman" w:cs="Times New Roman"/>
                <w:b/>
                <w:bCs/>
                <w:color w:val="000000" w:themeColor="text1"/>
                <w:sz w:val="26"/>
                <w:szCs w:val="26"/>
                <w:lang w:val="pt-BR"/>
              </w:rPr>
            </w:pPr>
            <w:r>
              <w:rPr>
                <w:rFonts w:ascii="Times New Roman" w:hAnsi="Times New Roman" w:cs="Times New Roman"/>
                <w:b/>
                <w:bCs/>
                <w:color w:val="000000" w:themeColor="text1"/>
                <w:sz w:val="26"/>
                <w:szCs w:val="26"/>
                <w:lang w:val="pt-BR"/>
              </w:rPr>
              <w:t>c) Kiến nghị thanh tra, kiểm tra xử lý các tổ chức, cá nhân trong việc tổ chức thực hiện chính sách bảo hiểm xã hội, bảo hiểm thất nghiệp, bảo hiểm y tế trên địa bàn.</w:t>
            </w:r>
          </w:p>
        </w:tc>
        <w:tc>
          <w:tcPr>
            <w:tcW w:w="1765" w:type="pct"/>
            <w:vMerge/>
            <w:vAlign w:val="center"/>
          </w:tcPr>
          <w:p w:rsidR="00A83EE3" w:rsidRDefault="00A83EE3">
            <w:pPr>
              <w:spacing w:before="60" w:after="60" w:line="252" w:lineRule="auto"/>
              <w:rPr>
                <w:rFonts w:ascii="Times New Roman" w:hAnsi="Times New Roman" w:cs="Times New Roman"/>
                <w:sz w:val="26"/>
                <w:szCs w:val="26"/>
                <w:lang w:val="en-US"/>
              </w:rPr>
            </w:pPr>
          </w:p>
        </w:tc>
      </w:tr>
      <w:tr w:rsidR="00A83EE3">
        <w:trPr>
          <w:trHeight w:val="312"/>
        </w:trPr>
        <w:tc>
          <w:tcPr>
            <w:tcW w:w="1617" w:type="pct"/>
          </w:tcPr>
          <w:p w:rsidR="00A83EE3" w:rsidRDefault="00A83EE3">
            <w:pPr>
              <w:spacing w:before="60" w:after="60" w:line="252" w:lineRule="auto"/>
              <w:ind w:firstLine="22"/>
              <w:rPr>
                <w:rFonts w:ascii="Times New Roman" w:eastAsia="SimSun" w:hAnsi="Times New Roman" w:cs="Times New Roman"/>
                <w:b/>
                <w:color w:val="000000"/>
                <w:sz w:val="26"/>
                <w:szCs w:val="26"/>
                <w:lang w:val="en-US"/>
              </w:rPr>
            </w:pPr>
          </w:p>
        </w:tc>
        <w:tc>
          <w:tcPr>
            <w:tcW w:w="1616" w:type="pct"/>
            <w:shd w:val="clear" w:color="auto" w:fill="auto"/>
            <w:vAlign w:val="center"/>
          </w:tcPr>
          <w:p w:rsidR="00A83EE3" w:rsidRDefault="00904E0F">
            <w:pPr>
              <w:spacing w:before="60" w:after="60" w:line="252" w:lineRule="auto"/>
              <w:ind w:firstLine="22"/>
              <w:rPr>
                <w:rFonts w:ascii="Times New Roman" w:eastAsia="SimSun" w:hAnsi="Times New Roman" w:cs="Times New Roman"/>
                <w:b/>
                <w:color w:val="000000"/>
                <w:sz w:val="26"/>
                <w:szCs w:val="26"/>
                <w:lang w:val="en-US"/>
              </w:rPr>
            </w:pPr>
            <w:r>
              <w:rPr>
                <w:rFonts w:ascii="Times New Roman" w:eastAsia="SimSun" w:hAnsi="Times New Roman" w:cs="Times New Roman"/>
                <w:b/>
                <w:color w:val="000000"/>
                <w:sz w:val="26"/>
                <w:szCs w:val="26"/>
                <w:lang w:val="en-US"/>
              </w:rPr>
              <w:t xml:space="preserve">Điều 7. Bộ máy giúp việc của Hội đồng quản lý </w:t>
            </w:r>
          </w:p>
        </w:tc>
        <w:tc>
          <w:tcPr>
            <w:tcW w:w="1765" w:type="pct"/>
            <w:vAlign w:val="center"/>
          </w:tcPr>
          <w:p w:rsidR="00A83EE3" w:rsidRDefault="00904E0F">
            <w:pPr>
              <w:spacing w:before="60" w:after="60" w:line="252"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Bổ sung các quy định chi tiết liên quan đến bộ máy giúp việc của Hội đồng quản lý căn cứ quy định tại Luật BHXH số 41/2024/QH15 và các quy định hiện hành liên quan đến tổ chức bộ máy và công chức, viên chức. </w:t>
            </w:r>
          </w:p>
        </w:tc>
      </w:tr>
      <w:tr w:rsidR="00A83EE3">
        <w:trPr>
          <w:trHeight w:val="312"/>
        </w:trPr>
        <w:tc>
          <w:tcPr>
            <w:tcW w:w="1617" w:type="pct"/>
          </w:tcPr>
          <w:p w:rsidR="00A83EE3" w:rsidRDefault="00904E0F">
            <w:pPr>
              <w:spacing w:before="60" w:after="60" w:line="252" w:lineRule="auto"/>
              <w:rPr>
                <w:rFonts w:ascii="Times New Roman" w:hAnsi="Times New Roman" w:cs="Times New Roman"/>
                <w:b/>
                <w:i/>
                <w:sz w:val="26"/>
                <w:szCs w:val="26"/>
                <w:lang w:val="en-US"/>
              </w:rPr>
            </w:pPr>
            <w:r>
              <w:rPr>
                <w:rFonts w:ascii="Times New Roman" w:hAnsi="Times New Roman" w:cs="Times New Roman"/>
                <w:b/>
                <w:i/>
                <w:sz w:val="26"/>
                <w:szCs w:val="26"/>
                <w:lang w:val="en-US"/>
              </w:rPr>
              <w:t>1. Nghị định 89/2020/NĐ-CP ngày 08/4/2020 của Chính phủ</w:t>
            </w:r>
          </w:p>
          <w:p w:rsidR="00A83EE3" w:rsidRDefault="00904E0F">
            <w:pPr>
              <w:shd w:val="clear" w:color="auto" w:fill="FFFFFF"/>
              <w:spacing w:before="60" w:after="60" w:line="252" w:lineRule="auto"/>
              <w:rPr>
                <w:rFonts w:ascii="Times New Roman" w:eastAsia="Times New Roman" w:hAnsi="Times New Roman" w:cs="Times New Roman"/>
                <w:color w:val="000000"/>
                <w:sz w:val="26"/>
                <w:szCs w:val="26"/>
              </w:rPr>
            </w:pPr>
            <w:r>
              <w:rPr>
                <w:rFonts w:ascii="Times New Roman" w:hAnsi="Times New Roman" w:cs="Times New Roman"/>
                <w:color w:val="000000" w:themeColor="text1"/>
                <w:sz w:val="26"/>
                <w:szCs w:val="26"/>
                <w:lang w:val="pt-BR"/>
              </w:rPr>
              <w:t>Chương III, Khoản 3 Điều 10. Hội đồng quản lý bảo hiểm xã hội</w:t>
            </w:r>
          </w:p>
          <w:p w:rsidR="00A83EE3" w:rsidRDefault="00904E0F">
            <w:pPr>
              <w:shd w:val="clear" w:color="auto" w:fill="FFFFFF"/>
              <w:spacing w:before="60" w:after="60" w:line="252" w:lineRule="auto"/>
              <w:rPr>
                <w:rFonts w:ascii="Times New Roman" w:eastAsia="Times New Roman" w:hAnsi="Times New Roman" w:cs="Times New Roman"/>
                <w:i/>
                <w:color w:val="000000"/>
                <w:sz w:val="18"/>
                <w:szCs w:val="18"/>
              </w:rPr>
            </w:pPr>
            <w:r>
              <w:rPr>
                <w:rFonts w:ascii="Times New Roman" w:eastAsia="Times New Roman" w:hAnsi="Times New Roman" w:cs="Times New Roman"/>
                <w:i/>
                <w:color w:val="000000"/>
                <w:sz w:val="26"/>
                <w:szCs w:val="26"/>
                <w:lang w:val="fr-FR"/>
              </w:rPr>
              <w:t>4. Hội đồng quản lý có Văn phòng giúp việc. Nhiệm vụ cụ thể của Văn phòng giúp việc do Hội đồng quản lý quy định</w:t>
            </w:r>
            <w:r>
              <w:rPr>
                <w:rFonts w:ascii="Times New Roman" w:eastAsia="Times New Roman" w:hAnsi="Times New Roman" w:cs="Times New Roman"/>
                <w:i/>
                <w:color w:val="000000"/>
                <w:sz w:val="18"/>
                <w:szCs w:val="18"/>
                <w:lang w:val="fr-FR"/>
              </w:rPr>
              <w:t>.</w:t>
            </w:r>
          </w:p>
        </w:tc>
        <w:tc>
          <w:tcPr>
            <w:tcW w:w="1616" w:type="pct"/>
            <w:shd w:val="clear" w:color="auto" w:fill="auto"/>
            <w:vAlign w:val="center"/>
          </w:tcPr>
          <w:p w:rsidR="00A83EE3" w:rsidRDefault="00904E0F">
            <w:pPr>
              <w:pStyle w:val="FootnoteText"/>
              <w:spacing w:before="60" w:after="60" w:line="252" w:lineRule="auto"/>
              <w:rPr>
                <w:rFonts w:eastAsia="Times New Roman"/>
                <w:sz w:val="26"/>
                <w:szCs w:val="26"/>
              </w:rPr>
            </w:pPr>
            <w:r>
              <w:rPr>
                <w:color w:val="000000" w:themeColor="text1"/>
                <w:sz w:val="26"/>
                <w:szCs w:val="26"/>
                <w:lang w:val="pt-BR"/>
              </w:rPr>
              <w:t>1. Bộ máy giúp việc của Hội đồng quản lý là Văn phòng Hội đồng quản lý</w:t>
            </w:r>
            <w:r>
              <w:rPr>
                <w:color w:val="000000" w:themeColor="text1"/>
                <w:sz w:val="26"/>
                <w:szCs w:val="26"/>
              </w:rPr>
              <w:t xml:space="preserve">, có tư cách pháp nhân, có con dấu, tài khoản riêng. </w:t>
            </w:r>
            <w:r>
              <w:rPr>
                <w:rFonts w:eastAsia="Times New Roman"/>
                <w:sz w:val="26"/>
                <w:szCs w:val="26"/>
              </w:rPr>
              <w:t xml:space="preserve"> </w:t>
            </w:r>
          </w:p>
          <w:p w:rsidR="00A83EE3" w:rsidRDefault="00A83EE3">
            <w:pPr>
              <w:pStyle w:val="FootnoteText"/>
              <w:spacing w:before="60" w:after="60" w:line="252" w:lineRule="auto"/>
              <w:rPr>
                <w:rFonts w:eastAsia="Times New Roman"/>
                <w:sz w:val="26"/>
                <w:szCs w:val="26"/>
              </w:rPr>
            </w:pPr>
          </w:p>
        </w:tc>
        <w:tc>
          <w:tcPr>
            <w:tcW w:w="1765" w:type="pct"/>
            <w:vMerge w:val="restart"/>
            <w:shd w:val="clear" w:color="auto" w:fill="auto"/>
            <w:vAlign w:val="center"/>
          </w:tcPr>
          <w:p w:rsidR="00A83EE3" w:rsidRDefault="00904E0F">
            <w:pPr>
              <w:tabs>
                <w:tab w:val="left" w:pos="993"/>
              </w:tabs>
              <w:spacing w:before="60" w:after="60" w:line="252" w:lineRule="auto"/>
              <w:rPr>
                <w:rFonts w:ascii="Times New Roman" w:hAnsi="Times New Roman" w:cs="Times New Roman"/>
                <w:bCs/>
                <w:spacing w:val="-2"/>
                <w:sz w:val="26"/>
                <w:szCs w:val="26"/>
                <w:lang w:val="en-US"/>
              </w:rPr>
            </w:pPr>
            <w:r>
              <w:rPr>
                <w:rFonts w:ascii="Times New Roman" w:hAnsi="Times New Roman" w:cs="Times New Roman"/>
                <w:sz w:val="26"/>
                <w:szCs w:val="26"/>
              </w:rPr>
              <w:t>Hội đồng quản lý là một thiết chế đặc biệt</w:t>
            </w:r>
            <w:r>
              <w:rPr>
                <w:rFonts w:ascii="Times New Roman" w:hAnsi="Times New Roman" w:cs="Times New Roman"/>
                <w:sz w:val="26"/>
                <w:szCs w:val="26"/>
                <w:lang w:val="en-US"/>
              </w:rPr>
              <w:t>. X</w:t>
            </w:r>
            <w:r>
              <w:rPr>
                <w:rFonts w:ascii="Times New Roman" w:hAnsi="Times New Roman" w:cs="Times New Roman"/>
                <w:sz w:val="26"/>
                <w:szCs w:val="26"/>
              </w:rPr>
              <w:t xml:space="preserve">uất phát từ bản chất hình thành </w:t>
            </w:r>
            <w:r>
              <w:rPr>
                <w:rFonts w:ascii="Times New Roman" w:hAnsi="Times New Roman" w:cs="Times New Roman"/>
                <w:sz w:val="26"/>
                <w:szCs w:val="26"/>
                <w:lang w:val="en-US"/>
              </w:rPr>
              <w:t>các q</w:t>
            </w:r>
            <w:r>
              <w:rPr>
                <w:rFonts w:ascii="Times New Roman" w:hAnsi="Times New Roman" w:cs="Times New Roman"/>
                <w:sz w:val="26"/>
                <w:szCs w:val="26"/>
              </w:rPr>
              <w:t xml:space="preserve">uỹ BHXH, BHTN, BHYT không phải của </w:t>
            </w:r>
            <w:r>
              <w:rPr>
                <w:rFonts w:ascii="Times New Roman" w:hAnsi="Times New Roman" w:cs="Times New Roman"/>
                <w:sz w:val="26"/>
                <w:szCs w:val="26"/>
                <w:lang w:val="en-US"/>
              </w:rPr>
              <w:t>n</w:t>
            </w:r>
            <w:r>
              <w:rPr>
                <w:rFonts w:ascii="Times New Roman" w:hAnsi="Times New Roman" w:cs="Times New Roman"/>
                <w:sz w:val="26"/>
                <w:szCs w:val="26"/>
              </w:rPr>
              <w:t xml:space="preserve">gân sách </w:t>
            </w:r>
            <w:r>
              <w:rPr>
                <w:rFonts w:ascii="Times New Roman" w:hAnsi="Times New Roman" w:cs="Times New Roman"/>
                <w:sz w:val="26"/>
                <w:szCs w:val="26"/>
                <w:lang w:val="en-US"/>
              </w:rPr>
              <w:t>n</w:t>
            </w:r>
            <w:r>
              <w:rPr>
                <w:rFonts w:ascii="Times New Roman" w:hAnsi="Times New Roman" w:cs="Times New Roman"/>
                <w:sz w:val="26"/>
                <w:szCs w:val="26"/>
              </w:rPr>
              <w:t xml:space="preserve">hà nước mà từ nguồn đóng góp của người lao động, người sử dụng lao động, có sự hỗ trợ của Nhà nước </w:t>
            </w:r>
            <w:r>
              <w:rPr>
                <w:rFonts w:ascii="Times New Roman" w:hAnsi="Times New Roman" w:cs="Times New Roman"/>
                <w:sz w:val="26"/>
                <w:szCs w:val="26"/>
                <w:lang w:val="en-US"/>
              </w:rPr>
              <w:t>nên v</w:t>
            </w:r>
            <w:r>
              <w:rPr>
                <w:rFonts w:ascii="Times New Roman" w:hAnsi="Times New Roman" w:cs="Times New Roman"/>
                <w:sz w:val="26"/>
                <w:szCs w:val="26"/>
              </w:rPr>
              <w:t xml:space="preserve">ị trí pháp lý của Hội đồng </w:t>
            </w:r>
            <w:r>
              <w:rPr>
                <w:rFonts w:ascii="Times New Roman" w:hAnsi="Times New Roman" w:cs="Times New Roman"/>
                <w:sz w:val="26"/>
                <w:szCs w:val="26"/>
                <w:lang w:val="en-US"/>
              </w:rPr>
              <w:t xml:space="preserve">quản lý </w:t>
            </w:r>
            <w:r>
              <w:rPr>
                <w:rFonts w:ascii="Times New Roman" w:hAnsi="Times New Roman" w:cs="Times New Roman"/>
                <w:sz w:val="26"/>
                <w:szCs w:val="26"/>
              </w:rPr>
              <w:t xml:space="preserve">cũng vì vậy mà mang tính chất đặc thù, khác với các tổ </w:t>
            </w:r>
            <w:r>
              <w:rPr>
                <w:rFonts w:ascii="Times New Roman" w:hAnsi="Times New Roman" w:cs="Times New Roman"/>
                <w:sz w:val="26"/>
                <w:szCs w:val="26"/>
              </w:rPr>
              <w:lastRenderedPageBreak/>
              <w:t xml:space="preserve">chức có tính liên ngành của các lĩnh vực khác, đó là 01 thiết chế bên cạnh các thiết chế </w:t>
            </w:r>
            <w:r>
              <w:rPr>
                <w:rFonts w:ascii="Times New Roman" w:hAnsi="Times New Roman" w:cs="Times New Roman"/>
                <w:sz w:val="26"/>
                <w:szCs w:val="26"/>
                <w:lang w:val="en-US"/>
              </w:rPr>
              <w:t>quản lý nhà nước</w:t>
            </w:r>
            <w:r>
              <w:rPr>
                <w:rFonts w:ascii="Times New Roman" w:hAnsi="Times New Roman" w:cs="Times New Roman"/>
                <w:sz w:val="26"/>
                <w:szCs w:val="26"/>
              </w:rPr>
              <w:t xml:space="preserve"> do Chính phủ thành lập, thực hiện một số chức năng, nhiệm vụ, quyền hạn đặc thù như Luật Bảo hiểm xã hội số 41/2024/QH15 đ</w:t>
            </w:r>
            <w:r>
              <w:rPr>
                <w:rFonts w:ascii="Times New Roman" w:hAnsi="Times New Roman" w:cs="Times New Roman"/>
                <w:sz w:val="26"/>
                <w:szCs w:val="26"/>
                <w:lang w:val="en-US"/>
              </w:rPr>
              <w:t>ang</w:t>
            </w:r>
            <w:r>
              <w:rPr>
                <w:rFonts w:ascii="Times New Roman" w:hAnsi="Times New Roman" w:cs="Times New Roman"/>
                <w:sz w:val="26"/>
                <w:szCs w:val="26"/>
              </w:rPr>
              <w:t xml:space="preserve"> quy định</w:t>
            </w:r>
            <w:r>
              <w:rPr>
                <w:rFonts w:ascii="Times New Roman" w:hAnsi="Times New Roman" w:cs="Times New Roman"/>
                <w:sz w:val="26"/>
                <w:szCs w:val="26"/>
                <w:lang w:val="en-US"/>
              </w:rPr>
              <w:t xml:space="preserve"> </w:t>
            </w:r>
            <w:r>
              <w:rPr>
                <w:rFonts w:ascii="Times New Roman" w:hAnsi="Times New Roman" w:cs="Times New Roman"/>
                <w:bCs/>
                <w:spacing w:val="-2"/>
                <w:sz w:val="26"/>
                <w:szCs w:val="26"/>
                <w:lang w:val="en-US"/>
              </w:rPr>
              <w:t>(chi tiết như đã trình bày tại dự thảo Tờ trình).</w:t>
            </w:r>
          </w:p>
          <w:p w:rsidR="00A83EE3" w:rsidRDefault="00904E0F">
            <w:pPr>
              <w:tabs>
                <w:tab w:val="left" w:pos="993"/>
              </w:tabs>
              <w:spacing w:before="60" w:after="60" w:line="252" w:lineRule="auto"/>
              <w:rPr>
                <w:rFonts w:eastAsia="Times New Roman"/>
                <w:sz w:val="26"/>
                <w:szCs w:val="26"/>
                <w:lang w:val="en-US"/>
              </w:rPr>
            </w:pPr>
            <w:r>
              <w:rPr>
                <w:rFonts w:ascii="Times New Roman" w:eastAsia="Calibri" w:hAnsi="Times New Roman" w:cs="Times New Roman"/>
                <w:color w:val="000000" w:themeColor="text1"/>
                <w:sz w:val="26"/>
                <w:szCs w:val="26"/>
                <w:lang w:val="en-US" w:eastAsia="zh-CN" w:bidi="ar"/>
              </w:rPr>
              <w:t xml:space="preserve">Việc kiện toàn tổ chức biên trong của Văn phòng nhằm giúp khắc phục các tồn tại, hạn chế hiện nay đồng thời giúp Văn phòng có căn cứ pháp lý, có tư cách pháp nhân, con dấu, tài khoản riêng và hoạt động tương đối độc lập với cơ quan BHXH Việt Nam, nhằm thực hiện đúng chức trách nhiệm vụ giúp việc cho </w:t>
            </w:r>
            <w:r>
              <w:rPr>
                <w:rFonts w:ascii="Times New Roman" w:eastAsia="Arial" w:hAnsi="Times New Roman" w:cs="Times New Roman"/>
                <w:bCs/>
                <w:iCs/>
                <w:color w:val="000000" w:themeColor="text1"/>
                <w:sz w:val="26"/>
                <w:szCs w:val="26"/>
                <w:lang w:val="en-US"/>
              </w:rPr>
              <w:t>Hội đồng quản lý</w:t>
            </w:r>
            <w:r>
              <w:rPr>
                <w:rFonts w:ascii="Times New Roman" w:eastAsia="Calibri" w:hAnsi="Times New Roman" w:cs="Times New Roman"/>
                <w:color w:val="000000" w:themeColor="text1"/>
                <w:sz w:val="26"/>
                <w:szCs w:val="26"/>
                <w:lang w:val="en-US" w:eastAsia="zh-CN" w:bidi="ar"/>
              </w:rPr>
              <w:t xml:space="preserve">, đảm bảo tính khách quan tương đối trong các hoạt động xử lý và tổ chức thực thi công vụ và các quyết nghị tại nghị quyết, kết luận và triển khai các nhiệm vụ chỉ đạo, giám sát của HĐQL giúp Chính phủ, Thủ tướng Chính phủ </w:t>
            </w:r>
            <w:r>
              <w:rPr>
                <w:rFonts w:ascii="Times New Roman" w:eastAsia="Arial" w:hAnsi="Times New Roman" w:cs="Times New Roman"/>
                <w:bCs/>
                <w:iCs/>
                <w:color w:val="000000" w:themeColor="text1"/>
                <w:sz w:val="26"/>
                <w:szCs w:val="26"/>
                <w:lang w:val="en-US"/>
              </w:rPr>
              <w:t>bảo đảm triển khai nhiệm vụ, quyền hạn</w:t>
            </w:r>
            <w:r>
              <w:rPr>
                <w:rFonts w:ascii="Times New Roman" w:eastAsia="Calibri" w:hAnsi="Times New Roman" w:cs="Times New Roman"/>
                <w:color w:val="000000" w:themeColor="text1"/>
                <w:sz w:val="26"/>
                <w:szCs w:val="26"/>
                <w:lang w:val="en-US" w:eastAsia="zh-CN" w:bidi="ar"/>
              </w:rPr>
              <w:t xml:space="preserve"> theo quy định của Luật và các văn bản khác. </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en-US"/>
              </w:rPr>
              <w:t xml:space="preserve">Để </w:t>
            </w:r>
            <w:r>
              <w:rPr>
                <w:rFonts w:ascii="Times New Roman" w:hAnsi="Times New Roman" w:cs="Times New Roman"/>
                <w:color w:val="000000" w:themeColor="text1"/>
                <w:sz w:val="26"/>
                <w:szCs w:val="26"/>
                <w:lang w:val="pt-BR"/>
              </w:rPr>
              <w:t xml:space="preserve">đảm bảo phù hợp với </w:t>
            </w:r>
            <w:r>
              <w:rPr>
                <w:rFonts w:ascii="Times New Roman" w:eastAsia="Times New Roman" w:hAnsi="Times New Roman" w:cs="Times New Roman"/>
                <w:color w:val="000000" w:themeColor="text1"/>
                <w:sz w:val="26"/>
                <w:szCs w:val="26"/>
                <w:lang w:val="en-US"/>
              </w:rPr>
              <w:t xml:space="preserve">bối cảnh sắp xếp, tinh gọn bộ máy hiện nay và để thuận tiện, thống nhất trong việc quản lý, bố trí viên chức thuộc biên chế tổ chức thực hiện BHXH, đề xuất giao Bộ trưởng Bộ Tài chính đồng thời là Chủ tịch Hội đồng quản lý xem xét quyết định về tổ chức bên trong của Văn phòng HĐQL trên cơ sở ý kiến thống nhất của Hội đồng. </w:t>
            </w:r>
          </w:p>
          <w:p w:rsidR="00A83EE3" w:rsidRDefault="00904E0F">
            <w:pPr>
              <w:spacing w:before="60" w:after="60" w:line="252" w:lineRule="auto"/>
              <w:rPr>
                <w:rFonts w:ascii="Times New Roman" w:hAnsi="Times New Roman" w:cs="Times New Roman"/>
                <w:sz w:val="26"/>
                <w:szCs w:val="26"/>
                <w:lang w:val="en-US"/>
              </w:rPr>
            </w:pPr>
            <w:r>
              <w:rPr>
                <w:rFonts w:ascii="Times New Roman" w:hAnsi="Times New Roman" w:cs="Times New Roman"/>
                <w:color w:val="000000" w:themeColor="text1"/>
                <w:sz w:val="26"/>
                <w:szCs w:val="26"/>
                <w:lang w:val="pt-BR"/>
              </w:rPr>
              <w:t>Các bộ ph</w:t>
            </w:r>
            <w:r>
              <w:rPr>
                <w:rFonts w:ascii="Times New Roman" w:hAnsi="Times New Roman" w:cs="Times New Roman"/>
                <w:color w:val="000000" w:themeColor="text1"/>
                <w:sz w:val="26"/>
                <w:szCs w:val="26"/>
                <w:lang w:val="en-US"/>
              </w:rPr>
              <w:t>ận</w:t>
            </w:r>
            <w:r>
              <w:rPr>
                <w:rFonts w:ascii="Times New Roman" w:hAnsi="Times New Roman" w:cs="Times New Roman"/>
                <w:color w:val="000000" w:themeColor="text1"/>
                <w:sz w:val="26"/>
                <w:szCs w:val="26"/>
                <w:lang w:val="pt-BR"/>
              </w:rPr>
              <w:t xml:space="preserve"> chức năng của Văn phòng </w:t>
            </w:r>
            <w:r>
              <w:rPr>
                <w:rFonts w:ascii="Times New Roman" w:hAnsi="Times New Roman" w:cs="Times New Roman"/>
                <w:color w:val="000000" w:themeColor="text1"/>
                <w:sz w:val="26"/>
                <w:szCs w:val="26"/>
                <w:shd w:val="clear" w:color="auto" w:fill="FFFFFF"/>
              </w:rPr>
              <w:t xml:space="preserve">giúp việc cho </w:t>
            </w:r>
            <w:r>
              <w:rPr>
                <w:rFonts w:ascii="Times New Roman" w:eastAsia="Arial" w:hAnsi="Times New Roman" w:cs="Times New Roman"/>
                <w:bCs/>
                <w:iCs/>
                <w:color w:val="000000" w:themeColor="text1"/>
                <w:sz w:val="26"/>
                <w:szCs w:val="26"/>
              </w:rPr>
              <w:t xml:space="preserve"> HĐQL</w:t>
            </w:r>
            <w:r>
              <w:rPr>
                <w:rFonts w:ascii="Times New Roman" w:hAnsi="Times New Roman" w:cs="Times New Roman"/>
                <w:color w:val="000000" w:themeColor="text1"/>
                <w:sz w:val="26"/>
                <w:szCs w:val="26"/>
                <w:shd w:val="clear" w:color="auto" w:fill="FFFFFF"/>
              </w:rPr>
              <w:t xml:space="preserve"> là các đơn vị chuyên môn đảm bảo </w:t>
            </w:r>
            <w:r>
              <w:rPr>
                <w:rFonts w:ascii="Times New Roman" w:hAnsi="Times New Roman" w:cs="Times New Roman"/>
                <w:color w:val="000000" w:themeColor="text1"/>
                <w:sz w:val="26"/>
                <w:szCs w:val="26"/>
                <w:shd w:val="clear" w:color="auto" w:fill="FFFFFF"/>
              </w:rPr>
              <w:lastRenderedPageBreak/>
              <w:t xml:space="preserve">việc tổ chức thực hiện nhiệm vụ, quyền hạn của </w:t>
            </w:r>
            <w:r>
              <w:rPr>
                <w:rFonts w:ascii="Times New Roman" w:eastAsia="Arial" w:hAnsi="Times New Roman" w:cs="Times New Roman"/>
                <w:bCs/>
                <w:iCs/>
                <w:color w:val="000000" w:themeColor="text1"/>
                <w:sz w:val="26"/>
                <w:szCs w:val="26"/>
              </w:rPr>
              <w:t xml:space="preserve"> HĐQL. Bên cạnh đó, kiểm soát, giám sát</w:t>
            </w:r>
            <w:r>
              <w:rPr>
                <w:rFonts w:ascii="Times New Roman" w:hAnsi="Times New Roman" w:cs="Times New Roman"/>
                <w:color w:val="000000" w:themeColor="text1"/>
                <w:sz w:val="26"/>
                <w:szCs w:val="26"/>
                <w:lang w:val="en-US"/>
              </w:rPr>
              <w:t xml:space="preserve"> nhằm mục tiêu chuyên môn hóa các chức năng, nhiệm vụ </w:t>
            </w:r>
            <w:r>
              <w:rPr>
                <w:rFonts w:ascii="Times New Roman" w:hAnsi="Times New Roman" w:cs="Times New Roman"/>
                <w:color w:val="000000" w:themeColor="text1"/>
                <w:sz w:val="26"/>
                <w:szCs w:val="26"/>
              </w:rPr>
              <w:t xml:space="preserve">vai trò </w:t>
            </w:r>
            <w:r>
              <w:rPr>
                <w:rFonts w:ascii="Times New Roman" w:hAnsi="Times New Roman" w:cs="Times New Roman"/>
                <w:color w:val="000000" w:themeColor="text1"/>
                <w:sz w:val="26"/>
                <w:szCs w:val="26"/>
                <w:lang w:val="en-US"/>
              </w:rPr>
              <w:t>giúp việc cho HĐQL,</w:t>
            </w:r>
            <w:r>
              <w:rPr>
                <w:rFonts w:ascii="Times New Roman" w:hAnsi="Times New Roman" w:cs="Times New Roman"/>
                <w:color w:val="000000" w:themeColor="text1"/>
                <w:sz w:val="26"/>
                <w:szCs w:val="26"/>
              </w:rPr>
              <w:t xml:space="preserve"> nâng cao năng lực của </w:t>
            </w:r>
            <w:r>
              <w:rPr>
                <w:rFonts w:ascii="Times New Roman" w:hAnsi="Times New Roman" w:cs="Times New Roman"/>
                <w:color w:val="000000" w:themeColor="text1"/>
                <w:sz w:val="26"/>
                <w:szCs w:val="26"/>
                <w:lang w:val="en-US"/>
              </w:rPr>
              <w:t>HĐQL</w:t>
            </w:r>
            <w:r>
              <w:rPr>
                <w:rFonts w:ascii="Times New Roman" w:hAnsi="Times New Roman" w:cs="Times New Roman"/>
                <w:color w:val="000000" w:themeColor="text1"/>
                <w:sz w:val="26"/>
                <w:szCs w:val="26"/>
              </w:rPr>
              <w:t xml:space="preserve"> khi các thành viên kiêm nhiệm, bảo đảm việc hoạt động chuyên môn hóa đáp ứng</w:t>
            </w:r>
            <w:r>
              <w:rPr>
                <w:rFonts w:ascii="Times New Roman" w:hAnsi="Times New Roman" w:cs="Times New Roman"/>
                <w:color w:val="000000" w:themeColor="text1"/>
                <w:sz w:val="26"/>
                <w:szCs w:val="26"/>
                <w:lang w:val="en-US"/>
              </w:rPr>
              <w:t xml:space="preserve"> hiệu năng, hiệu lực, hiệu quả. </w:t>
            </w:r>
          </w:p>
        </w:tc>
      </w:tr>
      <w:tr w:rsidR="00A83EE3">
        <w:trPr>
          <w:trHeight w:val="3621"/>
        </w:trPr>
        <w:tc>
          <w:tcPr>
            <w:tcW w:w="1617" w:type="pct"/>
          </w:tcPr>
          <w:p w:rsidR="00A83EE3" w:rsidRDefault="00A83EE3">
            <w:pPr>
              <w:spacing w:before="60" w:after="60" w:line="252" w:lineRule="auto"/>
              <w:rPr>
                <w:rFonts w:ascii="Times New Roman" w:hAnsi="Times New Roman" w:cs="Times New Roman"/>
                <w:color w:val="000000" w:themeColor="text1"/>
                <w:sz w:val="26"/>
                <w:szCs w:val="26"/>
                <w:lang w:val="pt-BR"/>
              </w:rPr>
            </w:pPr>
          </w:p>
        </w:tc>
        <w:tc>
          <w:tcPr>
            <w:tcW w:w="1616" w:type="pct"/>
            <w:shd w:val="clear" w:color="auto" w:fill="auto"/>
            <w:vAlign w:val="center"/>
          </w:tcPr>
          <w:p w:rsidR="00A83EE3" w:rsidRDefault="00904E0F">
            <w:pPr>
              <w:numPr>
                <w:ilvl w:val="0"/>
                <w:numId w:val="4"/>
              </w:num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 xml:space="preserve">Văn phòng Hội đồng quản lý </w:t>
            </w:r>
            <w:r>
              <w:rPr>
                <w:rFonts w:ascii="Times New Roman" w:hAnsi="Times New Roman" w:cs="Times New Roman"/>
                <w:color w:val="000000" w:themeColor="text1"/>
                <w:sz w:val="26"/>
                <w:szCs w:val="26"/>
                <w:lang w:val="en-US"/>
              </w:rPr>
              <w:t xml:space="preserve">là đơn vị độc lập với Bảo hiểm xã hội Việt Nam, được tổ chức thành các bộ phận chức năng (tương đương cấp phòng của đơn vị thuộc Bộ). Nhiệm vụ cụ thể và cơ cấu tổ chức của Văn phòng Hội đồng quản lý do Chủ tịch Hội đồng quản lý  quyết định trên cơ sở đề nghị và thống nhất của Hội đồng quản lý. </w:t>
            </w:r>
          </w:p>
        </w:tc>
        <w:tc>
          <w:tcPr>
            <w:tcW w:w="1765" w:type="pct"/>
            <w:vMerge/>
            <w:vAlign w:val="center"/>
          </w:tcPr>
          <w:p w:rsidR="00A83EE3" w:rsidRDefault="00A83EE3">
            <w:pPr>
              <w:spacing w:before="60" w:after="60" w:line="252" w:lineRule="auto"/>
              <w:rPr>
                <w:rFonts w:ascii="Times New Roman" w:hAnsi="Times New Roman" w:cs="Times New Roman"/>
                <w:sz w:val="26"/>
                <w:szCs w:val="26"/>
                <w:lang w:val="en-US"/>
              </w:rPr>
            </w:pPr>
          </w:p>
        </w:tc>
      </w:tr>
      <w:tr w:rsidR="00A83EE3">
        <w:trPr>
          <w:trHeight w:val="312"/>
        </w:trPr>
        <w:tc>
          <w:tcPr>
            <w:tcW w:w="1617" w:type="pct"/>
          </w:tcPr>
          <w:p w:rsidR="00A83EE3" w:rsidRDefault="00A83EE3">
            <w:pPr>
              <w:spacing w:before="60" w:after="60" w:line="252" w:lineRule="auto"/>
              <w:rPr>
                <w:rFonts w:ascii="Times New Roman" w:hAnsi="Times New Roman" w:cs="Times New Roman"/>
                <w:color w:val="000000" w:themeColor="text1"/>
                <w:sz w:val="26"/>
                <w:szCs w:val="26"/>
                <w:lang w:val="pt-BR"/>
              </w:rPr>
            </w:pPr>
          </w:p>
        </w:tc>
        <w:tc>
          <w:tcPr>
            <w:tcW w:w="1616" w:type="pct"/>
            <w:shd w:val="clear" w:color="auto" w:fill="auto"/>
            <w:vAlign w:val="center"/>
          </w:tcPr>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en-US"/>
              </w:rPr>
              <w:t>3</w:t>
            </w:r>
            <w:r>
              <w:rPr>
                <w:rFonts w:ascii="Times New Roman" w:hAnsi="Times New Roman" w:cs="Times New Roman"/>
                <w:color w:val="000000" w:themeColor="text1"/>
                <w:sz w:val="26"/>
                <w:szCs w:val="26"/>
                <w:lang w:val="pt-BR"/>
              </w:rPr>
              <w:t xml:space="preserve">. Tổ chức Đảng, đoàn thể của Văn phòng Hội đồng quản lý được thành lập và hoạt động phù hợp chức năng nhiệm vụ và quy định hiện hành. </w:t>
            </w:r>
          </w:p>
        </w:tc>
        <w:tc>
          <w:tcPr>
            <w:tcW w:w="1765" w:type="pct"/>
            <w:shd w:val="clear" w:color="auto" w:fill="auto"/>
            <w:vAlign w:val="center"/>
          </w:tcPr>
          <w:p w:rsidR="00A83EE3" w:rsidRDefault="00904E0F">
            <w:pPr>
              <w:spacing w:before="60" w:after="60" w:line="252" w:lineRule="auto"/>
              <w:rPr>
                <w:rFonts w:ascii="Times New Roman" w:hAnsi="Times New Roman" w:cs="Times New Roman"/>
                <w:color w:val="000000" w:themeColor="text1"/>
                <w:sz w:val="26"/>
                <w:szCs w:val="26"/>
                <w:lang w:val="en-US"/>
              </w:rPr>
            </w:pPr>
            <w:r>
              <w:rPr>
                <w:rFonts w:ascii="Times New Roman" w:hAnsi="Times New Roman" w:cs="Times New Roman"/>
                <w:sz w:val="26"/>
                <w:szCs w:val="26"/>
                <w:lang w:val="en-US"/>
              </w:rPr>
              <w:t xml:space="preserve">Khắc phục bất cập hiện nay khi Văn phòng Hội đồng quản lý sinh hoạt cùng Đảng bộ BHXH Việt Nam và là chi bộ trực thuộc Đảng bộ BHXH Việt Nam, làm giảm bớt tính độc lập, khách quan của Văn phòng đối với hoạt động của BHXH Việt Nam. Dự thảo Nghị định bổ sung quy định tại khoản 4 Điều này, nhằm tạo điều kiện sau khi Nghị định được ban hành, có hiệu lực và trên cơ sở kiện toàn tổ chức bộ máy và hoạt động của Văn phòng, Văn phòng sẽ kiện toàn tổ chức Đảng, đoàn thể đảm bảo hoạt động phù hợp chức năng nhiệm vụ được giao. Đề án tổ chức Đảng, đoàn thể của Văn phòng Hội đồng sẽ do Văn phòng Hội đồng quản lý nghiên cứu, đề xuất, báo cáo cấp có thẩm quyền xem xét phê duyệt theo quy định. </w:t>
            </w:r>
          </w:p>
        </w:tc>
      </w:tr>
      <w:tr w:rsidR="00A83EE3">
        <w:trPr>
          <w:trHeight w:val="312"/>
        </w:trPr>
        <w:tc>
          <w:tcPr>
            <w:tcW w:w="1617" w:type="pct"/>
          </w:tcPr>
          <w:p w:rsidR="00A83EE3" w:rsidRDefault="00A83EE3">
            <w:pPr>
              <w:spacing w:before="60" w:after="60" w:line="252" w:lineRule="auto"/>
              <w:rPr>
                <w:rFonts w:ascii="Times New Roman" w:hAnsi="Times New Roman" w:cs="Times New Roman"/>
                <w:color w:val="000000" w:themeColor="text1"/>
                <w:sz w:val="26"/>
                <w:szCs w:val="26"/>
                <w:lang w:val="pt-BR"/>
              </w:rPr>
            </w:pPr>
          </w:p>
        </w:tc>
        <w:tc>
          <w:tcPr>
            <w:tcW w:w="1616" w:type="pct"/>
            <w:shd w:val="clear" w:color="auto" w:fill="auto"/>
            <w:vAlign w:val="center"/>
          </w:tcPr>
          <w:p w:rsidR="00A83EE3" w:rsidRDefault="00904E0F">
            <w:pPr>
              <w:spacing w:before="60" w:after="60" w:line="252" w:lineRule="auto"/>
              <w:rPr>
                <w:rFonts w:ascii="Times New Roman" w:hAnsi="Times New Roman" w:cs="Times New Roman"/>
                <w:color w:val="000000" w:themeColor="text1"/>
                <w:sz w:val="26"/>
                <w:szCs w:val="26"/>
              </w:rPr>
            </w:pPr>
            <w:bookmarkStart w:id="6" w:name="_Hlk180899746"/>
            <w:r>
              <w:rPr>
                <w:rFonts w:ascii="Times New Roman" w:hAnsi="Times New Roman" w:cs="Times New Roman"/>
                <w:color w:val="000000" w:themeColor="text1"/>
                <w:sz w:val="26"/>
                <w:szCs w:val="26"/>
                <w:lang w:val="pt-BR"/>
              </w:rPr>
              <w:t>4. Biên chế của Văn phòng Hội đồng quản lý được</w:t>
            </w:r>
            <w:r>
              <w:rPr>
                <w:rFonts w:ascii="Times New Roman" w:eastAsia="Times New Roman" w:hAnsi="Times New Roman" w:cs="Times New Roman"/>
                <w:sz w:val="26"/>
                <w:szCs w:val="26"/>
              </w:rPr>
              <w:t xml:space="preserve"> bố trí trong tổng biên chế tổ chức thực </w:t>
            </w:r>
            <w:r>
              <w:rPr>
                <w:rFonts w:ascii="Times New Roman" w:eastAsia="Times New Roman" w:hAnsi="Times New Roman" w:cs="Times New Roman"/>
                <w:sz w:val="26"/>
                <w:szCs w:val="26"/>
              </w:rPr>
              <w:lastRenderedPageBreak/>
              <w:t xml:space="preserve">hiện bảo hiểm xã hội, do Bộ Tài chính chủ trì đề xuất, báo cáo cấp có thẩm quyền xem xét, quyết định phân bổ theo quy định cùng với biên chế của Bảo hiểm xã hội Việt Nam. </w:t>
            </w:r>
            <w:r>
              <w:rPr>
                <w:rFonts w:ascii="Times New Roman" w:hAnsi="Times New Roman" w:cs="Times New Roman"/>
                <w:sz w:val="26"/>
                <w:szCs w:val="26"/>
              </w:rPr>
              <w:t xml:space="preserve">Nhân sự của Văn phòng Hội đồng quản lý được tuyển dụng, quản lý và sử dụng theo quy định pháp luật về tuyển dụng, quản lý và sử dụng công chức, viên chức. </w:t>
            </w:r>
          </w:p>
          <w:bookmarkEnd w:id="6"/>
          <w:p w:rsidR="00A83EE3" w:rsidRDefault="00904E0F">
            <w:pPr>
              <w:spacing w:before="60" w:after="60" w:line="252" w:lineRule="auto"/>
              <w:rPr>
                <w:rFonts w:ascii="Times New Roman" w:hAnsi="Times New Roman" w:cs="Times New Roman"/>
                <w:b/>
                <w:sz w:val="26"/>
                <w:szCs w:val="26"/>
                <w:lang w:val="pt-BR"/>
              </w:rPr>
            </w:pPr>
            <w:r>
              <w:rPr>
                <w:rFonts w:ascii="Times New Roman" w:hAnsi="Times New Roman" w:cs="Times New Roman"/>
                <w:sz w:val="26"/>
                <w:szCs w:val="26"/>
                <w:lang w:val="pt-BR"/>
              </w:rPr>
              <w:t xml:space="preserve">5. Công chức, viên chức và người lao động làm việc tại Văn phòng Hội đồng quản lý được hưởng các chế độ, quyền lợi áp dụng như công chức, viên chức và người lao động làm việc tại Bảo hiểm xã hội Việt Nam. </w:t>
            </w:r>
          </w:p>
          <w:p w:rsidR="00A83EE3" w:rsidRDefault="00A83EE3">
            <w:pPr>
              <w:spacing w:before="60" w:after="60" w:line="252" w:lineRule="auto"/>
              <w:rPr>
                <w:rFonts w:ascii="Times New Roman" w:hAnsi="Times New Roman" w:cs="Times New Roman"/>
                <w:color w:val="000000" w:themeColor="text1"/>
                <w:sz w:val="26"/>
                <w:szCs w:val="26"/>
                <w:lang w:val="pt-BR"/>
              </w:rPr>
            </w:pPr>
          </w:p>
        </w:tc>
        <w:tc>
          <w:tcPr>
            <w:tcW w:w="1765" w:type="pct"/>
            <w:vAlign w:val="center"/>
          </w:tcPr>
          <w:p w:rsidR="00A83EE3" w:rsidRDefault="00904E0F">
            <w:pPr>
              <w:spacing w:before="60" w:after="60" w:line="252"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 Biên chế của Văn phòng HĐQL thời gian vừa qua đang được bố trí trong tổng số biên chế được </w:t>
            </w:r>
            <w:r>
              <w:rPr>
                <w:rFonts w:ascii="Times New Roman" w:hAnsi="Times New Roman" w:cs="Times New Roman"/>
                <w:sz w:val="26"/>
                <w:szCs w:val="26"/>
                <w:lang w:val="en-US"/>
              </w:rPr>
              <w:lastRenderedPageBreak/>
              <w:t xml:space="preserve">giao của BHXH Việt Nam (BHXH Việt Nam có Quyết định giao biên chế cho Văn phòng HĐQL trong tổng số biên chế được cấp có thẩm quyền giao của BHXH VN). Mục 2 Chương II Luật BHXH 2024 tiếp tục quy định Hội đồng quản lý BHXH trong phần về tổ chức thực hiện BHXH. </w:t>
            </w:r>
          </w:p>
          <w:p w:rsidR="00A83EE3" w:rsidRDefault="00904E0F">
            <w:pPr>
              <w:spacing w:before="60" w:after="60" w:line="252"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Để đảm bảo thực hiện đúng chủ trương của Trung ương, kiện toàn, sắp xếp lại tổ chức nhưng không làm phát sinh biên chế cơ quan HCNN, dự thảo Nghị định tiếp tục quy định và làm rõ một số nội dung liên quan đến biên chế, vị trí việc làm của bộ phận giúp việc Hội đồng quản lý (Văn phòng Hội đồng quản lý) tại khoản riêng thuộc Điều 7 và theo hướng kế thừa quy định hiện hành về việc bố trí biên chế cho Văn phòng HĐQL trong tổng biên chế tổ chức thực hiện BHXH. </w:t>
            </w:r>
          </w:p>
          <w:p w:rsidR="00A83EE3" w:rsidRDefault="00904E0F">
            <w:pPr>
              <w:spacing w:before="60" w:after="60" w:line="252" w:lineRule="auto"/>
              <w:rPr>
                <w:rFonts w:ascii="Times New Roman" w:hAnsi="Times New Roman" w:cs="Times New Roman"/>
                <w:color w:val="000000" w:themeColor="text1"/>
                <w:sz w:val="26"/>
                <w:szCs w:val="26"/>
                <w:lang w:val="en-US"/>
              </w:rPr>
            </w:pPr>
            <w:r>
              <w:rPr>
                <w:rFonts w:ascii="Times New Roman" w:hAnsi="Times New Roman" w:cs="Times New Roman"/>
                <w:color w:val="000000" w:themeColor="text1"/>
                <w:sz w:val="26"/>
                <w:szCs w:val="26"/>
                <w:lang w:val="pt-BR"/>
              </w:rPr>
              <w:t>Bộ Nội vụ tổng hợp biên chế của Văn phòng Hội đồng quản lý từ báo cáo, đề xuất chung của Bộ Tài chính</w:t>
            </w:r>
            <w:r>
              <w:rPr>
                <w:rFonts w:ascii="Times New Roman" w:hAnsi="Times New Roman" w:cs="Times New Roman"/>
                <w:color w:val="000000" w:themeColor="text1"/>
                <w:sz w:val="26"/>
                <w:szCs w:val="26"/>
                <w:lang w:val="en-US"/>
              </w:rPr>
              <w:t xml:space="preserve"> - cơ quan chịu trách nhiệm quản lý nhà nước về thực hiện chính sách BHXH, BHYT theo quy định tại Điều 1 Nghị định số 29/2025/NĐ-CP ngày 24/02/2025 của Chính phủ về chức năng, nhiệm vụ, quyền hạn và cơ cấu tổ chức của Bộ Tài chính). </w:t>
            </w:r>
          </w:p>
          <w:p w:rsidR="00A83EE3" w:rsidRDefault="00904E0F">
            <w:pPr>
              <w:spacing w:before="60" w:after="60" w:line="252" w:lineRule="auto"/>
              <w:rPr>
                <w:rFonts w:ascii="Times New Roman" w:hAnsi="Times New Roman" w:cs="Times New Roman"/>
                <w:color w:val="000000" w:themeColor="text1"/>
                <w:sz w:val="26"/>
                <w:szCs w:val="26"/>
                <w:lang w:val="en-US"/>
              </w:rPr>
            </w:pPr>
            <w:r>
              <w:rPr>
                <w:rFonts w:ascii="Times New Roman" w:hAnsi="Times New Roman" w:cs="Times New Roman"/>
                <w:color w:val="000000" w:themeColor="text1"/>
                <w:sz w:val="26"/>
                <w:szCs w:val="26"/>
                <w:lang w:val="en-US"/>
              </w:rPr>
              <w:t xml:space="preserve">Quy định về tuyển dụng, quản lý, sử dụng viên chức thuộc Văn phòng Hội đồng quản lý áp dụng quy định pháp luật về tuyển dụng, quản lý và sử dụng công chức, viên chức của Nhà nước. </w:t>
            </w:r>
          </w:p>
        </w:tc>
      </w:tr>
      <w:tr w:rsidR="00A83EE3">
        <w:trPr>
          <w:trHeight w:val="312"/>
        </w:trPr>
        <w:tc>
          <w:tcPr>
            <w:tcW w:w="1617" w:type="pct"/>
          </w:tcPr>
          <w:p w:rsidR="00A83EE3" w:rsidRDefault="00904E0F">
            <w:pPr>
              <w:spacing w:before="60" w:after="60" w:line="252" w:lineRule="auto"/>
              <w:rPr>
                <w:rFonts w:ascii="Times New Roman" w:hAnsi="Times New Roman" w:cs="Times New Roman"/>
                <w:b/>
                <w:i/>
                <w:sz w:val="26"/>
                <w:szCs w:val="26"/>
                <w:lang w:val="en-US"/>
              </w:rPr>
            </w:pPr>
            <w:r>
              <w:rPr>
                <w:rFonts w:ascii="Times New Roman" w:hAnsi="Times New Roman" w:cs="Times New Roman"/>
                <w:b/>
                <w:i/>
                <w:sz w:val="26"/>
                <w:szCs w:val="26"/>
                <w:lang w:val="en-US"/>
              </w:rPr>
              <w:lastRenderedPageBreak/>
              <w:t>1. Nghị định 89/2020/NĐ-CP ngày 08/4/2020 của Chính phủ</w:t>
            </w:r>
          </w:p>
          <w:p w:rsidR="00A83EE3" w:rsidRDefault="00904E0F">
            <w:pPr>
              <w:shd w:val="clear" w:color="auto" w:fill="FFFFFF"/>
              <w:spacing w:before="60" w:after="60" w:line="252" w:lineRule="auto"/>
              <w:rPr>
                <w:rFonts w:ascii="Times New Roman" w:eastAsia="Times New Roman" w:hAnsi="Times New Roman" w:cs="Times New Roman"/>
                <w:color w:val="000000"/>
                <w:sz w:val="26"/>
                <w:szCs w:val="26"/>
              </w:rPr>
            </w:pPr>
            <w:r>
              <w:rPr>
                <w:rFonts w:ascii="Times New Roman" w:hAnsi="Times New Roman" w:cs="Times New Roman"/>
                <w:color w:val="000000" w:themeColor="text1"/>
                <w:sz w:val="26"/>
                <w:szCs w:val="26"/>
                <w:lang w:val="pt-BR"/>
              </w:rPr>
              <w:t>Chương III, Khoản 8 Điều 11. Hội đồng quản lý bảo hiểm xã hội</w:t>
            </w:r>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lang w:val="fr-FR"/>
              </w:rPr>
            </w:pPr>
            <w:r>
              <w:rPr>
                <w:rFonts w:ascii="Times New Roman" w:eastAsia="Times New Roman" w:hAnsi="Times New Roman" w:cs="Times New Roman"/>
                <w:i/>
                <w:color w:val="000000"/>
                <w:sz w:val="26"/>
                <w:szCs w:val="26"/>
                <w:lang w:val="fr-FR"/>
              </w:rPr>
              <w:t xml:space="preserve">« 8. Kinh phí hoạt động của Hội đồng quản lý do Bảo hiểm xã hội Việt Nam bảo đảm ». </w:t>
            </w:r>
          </w:p>
          <w:p w:rsidR="00A83EE3" w:rsidRDefault="00904E0F">
            <w:pPr>
              <w:shd w:val="clear" w:color="auto" w:fill="FFFFFF"/>
              <w:spacing w:before="60" w:after="60" w:line="252" w:lineRule="auto"/>
              <w:rPr>
                <w:rFonts w:ascii="Times New Roman" w:eastAsia="Times New Roman" w:hAnsi="Times New Roman" w:cs="Times New Roman"/>
                <w:color w:val="000000"/>
                <w:sz w:val="18"/>
                <w:szCs w:val="18"/>
              </w:rPr>
            </w:pPr>
            <w:bookmarkStart w:id="7" w:name="dieu_4"/>
            <w:r>
              <w:rPr>
                <w:rFonts w:ascii="Times New Roman" w:hAnsi="Times New Roman" w:cs="Times New Roman"/>
                <w:b/>
                <w:i/>
                <w:sz w:val="26"/>
                <w:szCs w:val="26"/>
                <w:lang w:val="en-US"/>
              </w:rPr>
              <w:t>1. Nghị định 72/2017/NĐ-CP ngày 13/6/20217 của Chính phủ</w:t>
            </w:r>
            <w:bookmarkStart w:id="8" w:name="loai_1_name"/>
            <w:r>
              <w:rPr>
                <w:rFonts w:ascii="Times New Roman" w:hAnsi="Times New Roman" w:cs="Times New Roman"/>
                <w:b/>
                <w:i/>
                <w:sz w:val="26"/>
                <w:szCs w:val="26"/>
                <w:lang w:val="en-US"/>
              </w:rPr>
              <w:t xml:space="preserve"> quy định về nội dung chi hoạt động của Hội đồng quản lý Bảo hiểm xã hội Việt Nam</w:t>
            </w:r>
            <w:bookmarkEnd w:id="8"/>
          </w:p>
          <w:p w:rsidR="00A83EE3" w:rsidRDefault="00A83EE3">
            <w:pPr>
              <w:shd w:val="clear" w:color="auto" w:fill="FFFFFF"/>
              <w:spacing w:before="60" w:after="60" w:line="252" w:lineRule="auto"/>
              <w:rPr>
                <w:rFonts w:ascii="Times New Roman" w:eastAsia="Times New Roman" w:hAnsi="Times New Roman" w:cs="Times New Roman"/>
                <w:b/>
                <w:bCs/>
                <w:color w:val="000000"/>
                <w:sz w:val="26"/>
                <w:szCs w:val="26"/>
                <w:lang w:val="en-US"/>
              </w:rPr>
            </w:pPr>
          </w:p>
          <w:p w:rsidR="00A83EE3" w:rsidRDefault="00904E0F">
            <w:pPr>
              <w:shd w:val="clear" w:color="auto" w:fill="FFFFFF"/>
              <w:spacing w:before="60" w:after="60" w:line="252" w:lineRule="auto"/>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Điều 4. Nguồn kinh phí</w:t>
            </w:r>
            <w:bookmarkEnd w:id="7"/>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lang w:val="en-US"/>
              </w:rPr>
            </w:pPr>
            <w:r>
              <w:rPr>
                <w:rFonts w:ascii="Times New Roman" w:eastAsia="Times New Roman" w:hAnsi="Times New Roman" w:cs="Times New Roman"/>
                <w:i/>
                <w:color w:val="000000"/>
                <w:sz w:val="26"/>
                <w:szCs w:val="26"/>
                <w:lang w:val="en-US"/>
              </w:rPr>
              <w:t>“</w:t>
            </w:r>
            <w:r>
              <w:rPr>
                <w:rFonts w:ascii="Times New Roman" w:eastAsia="Times New Roman" w:hAnsi="Times New Roman" w:cs="Times New Roman"/>
                <w:i/>
                <w:color w:val="000000"/>
                <w:sz w:val="26"/>
                <w:szCs w:val="26"/>
              </w:rPr>
              <w:t>Kinh phí thực hiện Nghị định này do Bảo hiểm xã hội Việt Nam bảo đảm từ nguồn chi phí quản lý bảo hiểm xã hội, bảo hiểm thất nghiệp, bảo hiểm y tế được giao hàng năm theo quy định của pháp luật.</w:t>
            </w:r>
            <w:r>
              <w:rPr>
                <w:rFonts w:ascii="Times New Roman" w:eastAsia="Times New Roman" w:hAnsi="Times New Roman" w:cs="Times New Roman"/>
                <w:i/>
                <w:color w:val="000000"/>
                <w:sz w:val="26"/>
                <w:szCs w:val="26"/>
                <w:lang w:val="en-US"/>
              </w:rPr>
              <w:t>”</w:t>
            </w:r>
          </w:p>
          <w:p w:rsidR="00A83EE3" w:rsidRDefault="00A83EE3">
            <w:pPr>
              <w:shd w:val="clear" w:color="auto" w:fill="FFFFFF"/>
              <w:spacing w:before="60" w:after="60" w:line="252" w:lineRule="auto"/>
              <w:rPr>
                <w:rFonts w:ascii="Times New Roman" w:eastAsia="Times New Roman" w:hAnsi="Times New Roman" w:cs="Times New Roman"/>
                <w:i/>
                <w:color w:val="000000"/>
                <w:sz w:val="26"/>
                <w:szCs w:val="26"/>
              </w:rPr>
            </w:pPr>
          </w:p>
          <w:p w:rsidR="00A83EE3" w:rsidRDefault="00A83EE3">
            <w:pPr>
              <w:spacing w:before="60" w:after="60" w:line="252" w:lineRule="auto"/>
              <w:ind w:firstLine="22"/>
              <w:rPr>
                <w:rFonts w:ascii="Times New Roman" w:eastAsia="SimSun" w:hAnsi="Times New Roman" w:cs="Times New Roman"/>
                <w:b/>
                <w:color w:val="000000"/>
                <w:sz w:val="26"/>
                <w:szCs w:val="26"/>
                <w:lang w:val="en-US"/>
              </w:rPr>
            </w:pPr>
          </w:p>
        </w:tc>
        <w:tc>
          <w:tcPr>
            <w:tcW w:w="1616" w:type="pct"/>
            <w:shd w:val="clear" w:color="auto" w:fill="auto"/>
            <w:vAlign w:val="center"/>
          </w:tcPr>
          <w:p w:rsidR="00A83EE3" w:rsidRDefault="00904E0F">
            <w:pPr>
              <w:spacing w:before="60" w:after="60" w:line="252" w:lineRule="auto"/>
              <w:ind w:firstLine="22"/>
              <w:rPr>
                <w:rFonts w:ascii="Times New Roman" w:eastAsia="SimSun" w:hAnsi="Times New Roman" w:cs="Times New Roman"/>
                <w:b/>
                <w:color w:val="000000"/>
                <w:sz w:val="26"/>
                <w:szCs w:val="26"/>
                <w:lang w:val="en-US"/>
              </w:rPr>
            </w:pPr>
            <w:r>
              <w:rPr>
                <w:rFonts w:ascii="Times New Roman" w:eastAsia="SimSun" w:hAnsi="Times New Roman" w:cs="Times New Roman"/>
                <w:b/>
                <w:color w:val="000000"/>
                <w:sz w:val="26"/>
                <w:szCs w:val="26"/>
                <w:lang w:val="en-US"/>
              </w:rPr>
              <w:t>Điều 8. Kinh phí hoạt động của Hội đồng quản lý và bộ máy giúp việc của Hội đồng quản lý</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1. Kinh phí hoạt động của Hội đồng quản lý</w:t>
            </w:r>
            <w:r>
              <w:rPr>
                <w:rFonts w:ascii="Times New Roman" w:hAnsi="Times New Roman" w:cs="Times New Roman"/>
                <w:color w:val="000000" w:themeColor="text1"/>
                <w:sz w:val="26"/>
                <w:szCs w:val="26"/>
                <w:lang w:val="en-US"/>
              </w:rPr>
              <w:t xml:space="preserve"> và bộ máy giúp việc của Hội đồng quản lý</w:t>
            </w:r>
            <w:r>
              <w:rPr>
                <w:rFonts w:ascii="Times New Roman" w:hAnsi="Times New Roman" w:cs="Times New Roman"/>
                <w:color w:val="000000" w:themeColor="text1"/>
                <w:sz w:val="26"/>
                <w:szCs w:val="26"/>
                <w:lang w:val="pt-BR"/>
              </w:rPr>
              <w:t xml:space="preserve"> </w:t>
            </w:r>
            <w:r>
              <w:rPr>
                <w:rFonts w:ascii="Times New Roman" w:hAnsi="Times New Roman" w:cs="Times New Roman"/>
                <w:b/>
                <w:color w:val="000000" w:themeColor="text1"/>
                <w:sz w:val="26"/>
                <w:szCs w:val="26"/>
                <w:lang w:val="pt-BR"/>
              </w:rPr>
              <w:t>được bố trí trong dự toán chi tổ chức và hoạt động bảo hiểm xã hội, bảo hiểm thất nghiệp, bảo hiểm y tế và nguồn kinh phí hợp pháp khác theo quy định của pháp luật</w:t>
            </w:r>
            <w:r>
              <w:rPr>
                <w:rFonts w:ascii="Times New Roman" w:hAnsi="Times New Roman" w:cs="Times New Roman"/>
                <w:color w:val="000000" w:themeColor="text1"/>
                <w:sz w:val="26"/>
                <w:szCs w:val="26"/>
                <w:lang w:val="pt-BR"/>
              </w:rPr>
              <w:t xml:space="preserve">. </w:t>
            </w:r>
          </w:p>
          <w:p w:rsidR="00A83EE3" w:rsidRDefault="00904E0F">
            <w:pPr>
              <w:spacing w:before="60" w:after="60" w:line="252" w:lineRule="auto"/>
              <w:rPr>
                <w:rFonts w:ascii="Times New Roman" w:hAnsi="Times New Roman" w:cs="Times New Roman"/>
                <w:color w:val="000000" w:themeColor="text1"/>
                <w:sz w:val="26"/>
                <w:szCs w:val="26"/>
                <w:lang w:val="pt-BR"/>
              </w:rPr>
            </w:pPr>
            <w:r>
              <w:rPr>
                <w:rFonts w:ascii="Times New Roman" w:hAnsi="Times New Roman" w:cs="Times New Roman"/>
                <w:b/>
                <w:bCs/>
                <w:color w:val="000000" w:themeColor="text1"/>
                <w:sz w:val="26"/>
                <w:szCs w:val="26"/>
                <w:lang w:val="en-US"/>
              </w:rPr>
              <w:t>2</w:t>
            </w:r>
            <w:r>
              <w:rPr>
                <w:rFonts w:ascii="Times New Roman" w:hAnsi="Times New Roman" w:cs="Times New Roman"/>
                <w:b/>
                <w:bCs/>
                <w:color w:val="000000" w:themeColor="text1"/>
                <w:sz w:val="26"/>
                <w:szCs w:val="26"/>
                <w:lang w:val="pt-BR"/>
              </w:rPr>
              <w:t xml:space="preserve">. Việc quản lý, sử dụng, quyết toán kinh phí hoạt động của Hội đồng quản lý </w:t>
            </w:r>
            <w:r>
              <w:rPr>
                <w:rFonts w:ascii="Times New Roman" w:hAnsi="Times New Roman" w:cs="Times New Roman"/>
                <w:b/>
                <w:bCs/>
                <w:color w:val="000000" w:themeColor="text1"/>
                <w:sz w:val="26"/>
                <w:szCs w:val="26"/>
                <w:lang w:val="en-US"/>
              </w:rPr>
              <w:t xml:space="preserve">và bộ máy giúp việc của Hội đồng quản lý </w:t>
            </w:r>
            <w:r>
              <w:rPr>
                <w:rFonts w:ascii="Times New Roman" w:hAnsi="Times New Roman" w:cs="Times New Roman"/>
                <w:b/>
                <w:bCs/>
                <w:color w:val="000000" w:themeColor="text1"/>
                <w:sz w:val="26"/>
                <w:szCs w:val="26"/>
                <w:lang w:val="pt-BR"/>
              </w:rPr>
              <w:t>theo quy định của pháp luật về chi tổ chức và hoạt động bảo hiểm xã hội, bảo hiểm thất nghiệp, bảo hiểm y tế và quy định pháp luật khác có liên quan.</w:t>
            </w:r>
          </w:p>
        </w:tc>
        <w:tc>
          <w:tcPr>
            <w:tcW w:w="1765" w:type="pct"/>
            <w:vAlign w:val="center"/>
          </w:tcPr>
          <w:p w:rsidR="00A83EE3" w:rsidRDefault="00904E0F">
            <w:pPr>
              <w:spacing w:before="60" w:after="60" w:line="252"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Kế thừa từ quy định đã có trong Nghị định 89/2020/NĐ-CP và Nghị định 72/2017/NĐ-CP. </w:t>
            </w:r>
          </w:p>
          <w:p w:rsidR="00A83EE3" w:rsidRDefault="00904E0F">
            <w:pPr>
              <w:spacing w:before="60" w:after="60" w:line="252" w:lineRule="auto"/>
              <w:rPr>
                <w:rFonts w:ascii="Times New Roman" w:hAnsi="Times New Roman" w:cs="Times New Roman"/>
                <w:sz w:val="26"/>
                <w:szCs w:val="26"/>
                <w:lang w:val="en-US"/>
              </w:rPr>
            </w:pPr>
            <w:r>
              <w:rPr>
                <w:rFonts w:ascii="Times New Roman" w:hAnsi="Times New Roman" w:cs="Times New Roman"/>
                <w:sz w:val="26"/>
                <w:szCs w:val="26"/>
                <w:lang w:val="en-US"/>
              </w:rPr>
              <w:t>Theo Mục 2 chương II Luật BHXH năm 2024 thì tổ chức thực hiện BHXH bao gồm: (i)  HĐQL</w:t>
            </w:r>
            <w:r>
              <w:rPr>
                <w:rFonts w:ascii="Times New Roman" w:hAnsi="Times New Roman" w:cs="Times New Roman"/>
                <w:color w:val="000000" w:themeColor="text1"/>
                <w:sz w:val="26"/>
                <w:szCs w:val="26"/>
                <w:lang w:val="pt-BR"/>
              </w:rPr>
              <w:t xml:space="preserve">  </w:t>
            </w:r>
            <w:r>
              <w:rPr>
                <w:rFonts w:ascii="Times New Roman" w:hAnsi="Times New Roman" w:cs="Times New Roman"/>
                <w:sz w:val="26"/>
                <w:szCs w:val="26"/>
                <w:lang w:val="en-US"/>
              </w:rPr>
              <w:t>BHXH và (ii) Cơ quan BHXH; đồng thời tiếp tục khẳng định vị trí, chức năng và quyền hạn của Hội đồng quản lý bảo hiểm xã hội được tổ chức ở cấp quốc gia có trách nhiệm giúp Chính phủ, Thủ tướng Chính phủ chỉ đạo, giám sát hoạt động của cơ quan bảo hiểm xã hội và tư vấn chính sách BHXH, BHYT, BHTN đồng thời bổ sung các quy định mới về HĐQL</w:t>
            </w:r>
            <w:r>
              <w:rPr>
                <w:rFonts w:ascii="Times New Roman" w:hAnsi="Times New Roman" w:cs="Times New Roman"/>
                <w:color w:val="000000" w:themeColor="text1"/>
                <w:sz w:val="26"/>
                <w:szCs w:val="26"/>
                <w:lang w:val="pt-BR"/>
              </w:rPr>
              <w:t xml:space="preserve">  </w:t>
            </w:r>
            <w:r>
              <w:rPr>
                <w:rFonts w:ascii="Times New Roman" w:hAnsi="Times New Roman" w:cs="Times New Roman"/>
                <w:sz w:val="26"/>
                <w:szCs w:val="26"/>
                <w:lang w:val="en-US"/>
              </w:rPr>
              <w:t>.</w:t>
            </w:r>
          </w:p>
          <w:p w:rsidR="00A83EE3" w:rsidRDefault="00904E0F">
            <w:pPr>
              <w:spacing w:before="60" w:after="60" w:line="252" w:lineRule="auto"/>
              <w:rPr>
                <w:rFonts w:ascii="Times New Roman" w:hAnsi="Times New Roman" w:cs="Times New Roman"/>
                <w:i/>
                <w:sz w:val="26"/>
                <w:szCs w:val="26"/>
                <w:lang w:val="en-US"/>
              </w:rPr>
            </w:pPr>
            <w:r>
              <w:rPr>
                <w:rFonts w:ascii="Times New Roman" w:hAnsi="Times New Roman" w:cs="Times New Roman"/>
                <w:sz w:val="26"/>
                <w:szCs w:val="26"/>
                <w:lang w:val="en-US"/>
              </w:rPr>
              <w:t xml:space="preserve">Theo điểm d khoản 1 Điều 120  Luật BHXH số 41/2024/QH15 quy định </w:t>
            </w:r>
            <w:r>
              <w:rPr>
                <w:rFonts w:ascii="Times New Roman" w:hAnsi="Times New Roman" w:cs="Times New Roman"/>
                <w:i/>
                <w:sz w:val="26"/>
                <w:szCs w:val="26"/>
                <w:lang w:val="en-US"/>
              </w:rPr>
              <w:t>chi tổ chức và hoạt động BHXH được sử dụng để thực hiện tổ chức thu, chi trả BHXH và hoạt động bộ máy của cơ quan BHXH các cấp,  HĐQL</w:t>
            </w:r>
            <w:r>
              <w:rPr>
                <w:rFonts w:ascii="Times New Roman" w:hAnsi="Times New Roman" w:cs="Times New Roman"/>
                <w:i/>
                <w:color w:val="000000" w:themeColor="text1"/>
                <w:sz w:val="26"/>
                <w:szCs w:val="26"/>
                <w:lang w:val="pt-BR"/>
              </w:rPr>
              <w:t xml:space="preserve">  </w:t>
            </w:r>
            <w:r>
              <w:rPr>
                <w:rFonts w:ascii="Times New Roman" w:hAnsi="Times New Roman" w:cs="Times New Roman"/>
                <w:i/>
                <w:sz w:val="26"/>
                <w:szCs w:val="26"/>
                <w:lang w:val="en-US"/>
              </w:rPr>
              <w:t>BHXH .</w:t>
            </w:r>
          </w:p>
          <w:p w:rsidR="00A83EE3" w:rsidRDefault="00904E0F">
            <w:pPr>
              <w:spacing w:before="60" w:after="60" w:line="252"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Về nội dung chi hoạt động của HĐQL, Bộ LĐTBXH đã có ý kiến tại công văn số 596/BLĐTBXH-VPC ngày 17/02/2025 góp ý đối với dự thảo Nghị định quy định cơ chế  quản lý tài chính về BHXH, BHYT, BHTN; theo đó đề nghị bổ sung các nội dung chi liên quan đến HĐQL; đồng thời, đề nghị </w:t>
            </w:r>
            <w:r>
              <w:rPr>
                <w:rFonts w:ascii="Times New Roman" w:hAnsi="Times New Roman" w:cs="Times New Roman"/>
                <w:color w:val="000000" w:themeColor="text1"/>
                <w:sz w:val="26"/>
                <w:szCs w:val="26"/>
                <w:lang w:val="en-US"/>
              </w:rPr>
              <w:t>quy định cụ thể mức chi đối với các thành viên  HĐQL</w:t>
            </w:r>
            <w:r>
              <w:rPr>
                <w:rFonts w:ascii="Times New Roman" w:hAnsi="Times New Roman" w:cs="Times New Roman"/>
                <w:color w:val="000000" w:themeColor="text1"/>
                <w:sz w:val="26"/>
                <w:szCs w:val="26"/>
                <w:lang w:val="pt-BR"/>
              </w:rPr>
              <w:t xml:space="preserve">  </w:t>
            </w:r>
            <w:r>
              <w:rPr>
                <w:rFonts w:ascii="Times New Roman" w:hAnsi="Times New Roman" w:cs="Times New Roman"/>
                <w:color w:val="000000" w:themeColor="text1"/>
                <w:sz w:val="26"/>
                <w:szCs w:val="26"/>
                <w:lang w:val="en-US"/>
              </w:rPr>
              <w:t xml:space="preserve">BHXH theo căn cứ mức lương cơ sở hoặc căn cứ đóng BHXH để thay thế mức chi tại Nghị định số 72/2017/NĐ-CP do mức chi tại Nghị định số 72/2017/NĐ-CP </w:t>
            </w:r>
            <w:r>
              <w:rPr>
                <w:rFonts w:ascii="Times New Roman" w:hAnsi="Times New Roman" w:cs="Times New Roman"/>
                <w:color w:val="000000" w:themeColor="text1"/>
                <w:sz w:val="26"/>
                <w:szCs w:val="26"/>
                <w:lang w:val="en-US"/>
              </w:rPr>
              <w:lastRenderedPageBreak/>
              <w:t>đã lỗi thời, không còn phù hợp do căn cứ theo mức lương cơ sở tại năm 2017</w:t>
            </w:r>
            <w:r>
              <w:rPr>
                <w:rFonts w:ascii="Times New Roman" w:hAnsi="Times New Roman" w:cs="Times New Roman"/>
                <w:sz w:val="26"/>
                <w:szCs w:val="26"/>
                <w:lang w:val="en-US"/>
              </w:rPr>
              <w:t xml:space="preserve">; </w:t>
            </w:r>
          </w:p>
        </w:tc>
      </w:tr>
      <w:tr w:rsidR="00A83EE3">
        <w:trPr>
          <w:trHeight w:val="312"/>
        </w:trPr>
        <w:tc>
          <w:tcPr>
            <w:tcW w:w="1617" w:type="pct"/>
          </w:tcPr>
          <w:p w:rsidR="00A83EE3" w:rsidRDefault="00A83EE3">
            <w:pPr>
              <w:spacing w:before="60" w:after="60" w:line="252" w:lineRule="auto"/>
              <w:ind w:firstLine="22"/>
              <w:rPr>
                <w:rFonts w:ascii="Times New Roman" w:eastAsia="SimSun" w:hAnsi="Times New Roman" w:cs="Times New Roman"/>
                <w:b/>
                <w:bCs/>
                <w:color w:val="000000"/>
                <w:sz w:val="26"/>
                <w:szCs w:val="26"/>
                <w:lang w:val="en-US"/>
              </w:rPr>
            </w:pPr>
          </w:p>
        </w:tc>
        <w:tc>
          <w:tcPr>
            <w:tcW w:w="1616" w:type="pct"/>
            <w:shd w:val="clear" w:color="auto" w:fill="auto"/>
            <w:vAlign w:val="center"/>
          </w:tcPr>
          <w:p w:rsidR="00A83EE3" w:rsidRDefault="00904E0F">
            <w:pPr>
              <w:spacing w:before="60" w:after="60" w:line="252" w:lineRule="auto"/>
              <w:ind w:firstLine="22"/>
              <w:rPr>
                <w:rFonts w:ascii="Times New Roman" w:eastAsia="SimSun" w:hAnsi="Times New Roman" w:cs="Times New Roman"/>
                <w:b/>
                <w:bCs/>
                <w:color w:val="000000"/>
                <w:sz w:val="26"/>
                <w:szCs w:val="26"/>
                <w:lang w:val="en-US"/>
              </w:rPr>
            </w:pPr>
            <w:r>
              <w:rPr>
                <w:rFonts w:ascii="Times New Roman" w:eastAsia="SimSun" w:hAnsi="Times New Roman" w:cs="Times New Roman"/>
                <w:b/>
                <w:bCs/>
                <w:color w:val="000000"/>
                <w:sz w:val="26"/>
                <w:szCs w:val="26"/>
                <w:lang w:val="en-US"/>
              </w:rPr>
              <w:t xml:space="preserve">Điều 9. Hiệu lực thi hành </w:t>
            </w:r>
          </w:p>
          <w:p w:rsidR="00A83EE3" w:rsidRDefault="00904E0F">
            <w:pPr>
              <w:spacing w:before="60" w:after="60" w:line="252" w:lineRule="auto"/>
              <w:ind w:firstLine="22"/>
              <w:rPr>
                <w:rFonts w:ascii="Times New Roman" w:eastAsia="SimSun" w:hAnsi="Times New Roman" w:cs="Times New Roman"/>
                <w:color w:val="000000"/>
                <w:sz w:val="26"/>
                <w:szCs w:val="26"/>
                <w:lang w:val="en-US"/>
              </w:rPr>
            </w:pPr>
            <w:r>
              <w:rPr>
                <w:rFonts w:ascii="Times New Roman" w:eastAsia="SimSun" w:hAnsi="Times New Roman" w:cs="Times New Roman"/>
                <w:color w:val="000000"/>
                <w:sz w:val="26"/>
                <w:szCs w:val="26"/>
                <w:lang w:val="en-US"/>
              </w:rPr>
              <w:t>Nghị định này có hiệu lực thi hành từ ngày 01 tháng 7 năm 2025.</w:t>
            </w:r>
          </w:p>
        </w:tc>
        <w:tc>
          <w:tcPr>
            <w:tcW w:w="1765" w:type="pct"/>
            <w:vAlign w:val="center"/>
          </w:tcPr>
          <w:p w:rsidR="00A83EE3" w:rsidRDefault="00A83EE3">
            <w:pPr>
              <w:spacing w:before="60" w:after="60" w:line="252" w:lineRule="auto"/>
              <w:rPr>
                <w:rFonts w:ascii="Times New Roman" w:hAnsi="Times New Roman" w:cs="Times New Roman"/>
                <w:sz w:val="26"/>
                <w:szCs w:val="26"/>
                <w:lang w:val="en-US"/>
              </w:rPr>
            </w:pPr>
          </w:p>
        </w:tc>
      </w:tr>
      <w:tr w:rsidR="00A83EE3">
        <w:trPr>
          <w:trHeight w:val="700"/>
        </w:trPr>
        <w:tc>
          <w:tcPr>
            <w:tcW w:w="1617" w:type="pct"/>
          </w:tcPr>
          <w:p w:rsidR="00A83EE3" w:rsidRDefault="00904E0F">
            <w:pPr>
              <w:spacing w:before="60" w:after="60" w:line="252" w:lineRule="auto"/>
              <w:rPr>
                <w:rFonts w:ascii="Times New Roman" w:hAnsi="Times New Roman" w:cs="Times New Roman"/>
                <w:b/>
                <w:i/>
                <w:sz w:val="26"/>
                <w:szCs w:val="26"/>
                <w:lang w:val="en-US"/>
              </w:rPr>
            </w:pPr>
            <w:r>
              <w:rPr>
                <w:rFonts w:ascii="Times New Roman" w:hAnsi="Times New Roman" w:cs="Times New Roman"/>
                <w:b/>
                <w:i/>
                <w:sz w:val="26"/>
                <w:szCs w:val="26"/>
                <w:lang w:val="en-US"/>
              </w:rPr>
              <w:t>1. Nghị định 89/2020/NĐ-CP ngày 08/4/2020 của Chính phủ</w:t>
            </w:r>
          </w:p>
          <w:p w:rsidR="00A83EE3" w:rsidRDefault="00904E0F">
            <w:pPr>
              <w:shd w:val="clear" w:color="auto" w:fill="FFFFFF"/>
              <w:spacing w:before="60" w:after="60" w:line="252" w:lineRule="auto"/>
              <w:rPr>
                <w:rFonts w:ascii="Times New Roman" w:eastAsia="Times New Roman" w:hAnsi="Times New Roman" w:cs="Times New Roman"/>
                <w:color w:val="000000"/>
                <w:sz w:val="26"/>
                <w:szCs w:val="26"/>
                <w:lang w:val="fr-FR"/>
              </w:rPr>
            </w:pPr>
            <w:r>
              <w:rPr>
                <w:rFonts w:ascii="Times New Roman" w:eastAsia="Times New Roman" w:hAnsi="Times New Roman" w:cs="Times New Roman"/>
                <w:color w:val="000000"/>
                <w:sz w:val="26"/>
                <w:szCs w:val="26"/>
                <w:lang w:val="fr-FR"/>
              </w:rPr>
              <w:t xml:space="preserve">Điều 13. Trách nhiệm thi hành </w:t>
            </w:r>
          </w:p>
          <w:p w:rsidR="00A83EE3" w:rsidRDefault="00904E0F">
            <w:pPr>
              <w:shd w:val="clear" w:color="auto" w:fill="FFFFFF"/>
              <w:spacing w:before="60" w:after="60" w:line="252" w:lineRule="auto"/>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lang w:val="fr-FR"/>
              </w:rPr>
              <w:t>« Các Bộ trưởng, Thủ trưởng cơ quan ngang bộ, Thủ trưởng cơ quan thuộc Chính phủ, Chủ tịch Ủy ban nhân dân các tỉnh, thành phố trực thuộc trung ương, Hội đồng quản lý Bảo hiểm xã hội và Tổng Giám đốc Bảo hiểm xã hội Việt Nam chịu trách nhiệm thi hành Nghị định này »</w:t>
            </w:r>
          </w:p>
          <w:p w:rsidR="00A83EE3" w:rsidRDefault="00A83EE3">
            <w:pPr>
              <w:spacing w:before="60" w:after="60" w:line="252" w:lineRule="auto"/>
              <w:rPr>
                <w:rFonts w:ascii="Times New Roman" w:hAnsi="Times New Roman" w:cs="Times New Roman"/>
                <w:color w:val="000000" w:themeColor="text1"/>
                <w:sz w:val="26"/>
                <w:szCs w:val="26"/>
              </w:rPr>
            </w:pPr>
          </w:p>
        </w:tc>
        <w:tc>
          <w:tcPr>
            <w:tcW w:w="1616" w:type="pct"/>
            <w:shd w:val="clear" w:color="auto" w:fill="auto"/>
            <w:vAlign w:val="center"/>
          </w:tcPr>
          <w:p w:rsidR="00A83EE3" w:rsidRDefault="00904E0F">
            <w:pPr>
              <w:spacing w:before="60" w:after="60" w:line="252" w:lineRule="auto"/>
              <w:outlineLvl w:val="1"/>
              <w:rPr>
                <w:rFonts w:ascii="Times New Roman" w:eastAsia="Times New Roman" w:hAnsi="Times New Roman" w:cs="Times New Roman"/>
                <w:sz w:val="26"/>
                <w:szCs w:val="26"/>
              </w:rPr>
            </w:pPr>
            <w:r>
              <w:rPr>
                <w:rFonts w:ascii="Times New Roman" w:eastAsia="SimSun" w:hAnsi="Times New Roman" w:cs="Times New Roman"/>
                <w:b/>
                <w:bCs/>
                <w:color w:val="000000"/>
                <w:sz w:val="26"/>
                <w:szCs w:val="26"/>
                <w:lang w:val="en-US"/>
              </w:rPr>
              <w:t>Điều 10.</w:t>
            </w:r>
            <w:r>
              <w:rPr>
                <w:rFonts w:ascii="Times New Roman" w:eastAsia="SimSun" w:hAnsi="Times New Roman" w:cs="Times New Roman"/>
                <w:color w:val="000000"/>
                <w:sz w:val="26"/>
                <w:szCs w:val="26"/>
                <w:lang w:val="en-US"/>
              </w:rPr>
              <w:t xml:space="preserve"> </w:t>
            </w:r>
            <w:r>
              <w:rPr>
                <w:rFonts w:ascii="Times New Roman" w:eastAsia="Times New Roman" w:hAnsi="Times New Roman" w:cs="Times New Roman"/>
                <w:b/>
                <w:bCs/>
                <w:sz w:val="26"/>
                <w:szCs w:val="26"/>
              </w:rPr>
              <w:t>Trách nhiệm tổ chức thi hành</w:t>
            </w:r>
          </w:p>
          <w:p w:rsidR="00A83EE3" w:rsidRDefault="00904E0F">
            <w:pPr>
              <w:spacing w:before="60" w:after="60" w:line="252" w:lineRule="auto"/>
              <w:rPr>
                <w:rFonts w:ascii="Times New Roman" w:hAnsi="Times New Roman" w:cs="Times New Roman"/>
                <w:b/>
                <w:bCs/>
                <w:color w:val="000000" w:themeColor="text1"/>
                <w:sz w:val="26"/>
                <w:szCs w:val="26"/>
              </w:rPr>
            </w:pPr>
            <w:r>
              <w:rPr>
                <w:rFonts w:ascii="Times New Roman" w:hAnsi="Times New Roman" w:cs="Times New Roman"/>
                <w:color w:val="000000" w:themeColor="text1"/>
                <w:sz w:val="26"/>
                <w:szCs w:val="26"/>
              </w:rPr>
              <w:t xml:space="preserve">1. </w:t>
            </w:r>
            <w:r>
              <w:rPr>
                <w:rFonts w:ascii="Times New Roman" w:hAnsi="Times New Roman" w:cs="Times New Roman"/>
                <w:b/>
                <w:bCs/>
                <w:color w:val="000000" w:themeColor="text1"/>
                <w:sz w:val="26"/>
                <w:szCs w:val="26"/>
              </w:rPr>
              <w:t>Bộ trưởng Bộ Nội vụ chịu trách nhiệm trình Thủ tướng Chính phủ xem xét, quyết định kiện toàn các chức danh Chủ tịch, Phó Chủ tịch và thành viên Hội đồng quản lý trong quá trình sắp xếp tổ chức bộ máy các cơ quan, tổ chức theo quy định.</w:t>
            </w:r>
          </w:p>
          <w:p w:rsidR="00A83EE3" w:rsidRDefault="00904E0F">
            <w:pPr>
              <w:spacing w:before="60" w:after="60" w:line="25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2. Các Bộ trưởng, Thủ trưởng cơ quan ngang Bộ, Thủ trưởng cơ quan thuộc Chính phủ, </w:t>
            </w:r>
            <w:r>
              <w:rPr>
                <w:rFonts w:ascii="Times New Roman" w:hAnsi="Times New Roman" w:cs="Times New Roman"/>
                <w:b/>
                <w:bCs/>
                <w:color w:val="000000" w:themeColor="text1"/>
                <w:sz w:val="26"/>
                <w:szCs w:val="26"/>
              </w:rPr>
              <w:t>Chủ tịch, Phó Chủ tịch Hội đồng quản lý, các thành viên Hội đồng quản lý,</w:t>
            </w:r>
            <w:r>
              <w:rPr>
                <w:rFonts w:ascii="Times New Roman" w:hAnsi="Times New Roman" w:cs="Times New Roman"/>
                <w:color w:val="000000" w:themeColor="text1"/>
                <w:sz w:val="26"/>
                <w:szCs w:val="26"/>
              </w:rPr>
              <w:t xml:space="preserve"> Chủ tịch Ủy ban nhân dân tỉnh, thành phố trực thuộc Trung ương, Thủ trưởng các cơ quan, tổ chức và cá nhân liên quan chịu trách nhiệm thi hành Nghị định này./.</w:t>
            </w:r>
          </w:p>
        </w:tc>
        <w:tc>
          <w:tcPr>
            <w:tcW w:w="1765" w:type="pct"/>
            <w:vAlign w:val="center"/>
          </w:tcPr>
          <w:p w:rsidR="00A83EE3" w:rsidRDefault="00904E0F">
            <w:pPr>
              <w:spacing w:before="60" w:after="60" w:line="252" w:lineRule="auto"/>
              <w:rPr>
                <w:rFonts w:ascii="Times New Roman" w:hAnsi="Times New Roman" w:cs="Times New Roman"/>
                <w:i/>
                <w:color w:val="000000" w:themeColor="text1"/>
                <w:sz w:val="26"/>
                <w:szCs w:val="26"/>
                <w:lang w:val="en-US"/>
              </w:rPr>
            </w:pPr>
            <w:r>
              <w:rPr>
                <w:rFonts w:ascii="Times New Roman" w:hAnsi="Times New Roman" w:cs="Times New Roman"/>
                <w:iCs/>
                <w:color w:val="000000" w:themeColor="text1"/>
                <w:sz w:val="26"/>
                <w:szCs w:val="26"/>
                <w:lang w:val="en-US"/>
              </w:rPr>
              <w:t xml:space="preserve">Bổ sung quy định tại khoản 1 Điều 10 để phù hợp với bối cảnh thực hiện tinh gọn, sắp xếp tổ chức của hệ thống chính trị và đảm bảo duy trì hoạt động thường xuyên, liên tục, hiệu quả của Hội đồng quản lý. </w:t>
            </w:r>
          </w:p>
        </w:tc>
      </w:tr>
    </w:tbl>
    <w:p w:rsidR="00A83EE3" w:rsidRDefault="00A83EE3">
      <w:pPr>
        <w:spacing w:after="0" w:line="240" w:lineRule="auto"/>
        <w:rPr>
          <w:rFonts w:asciiTheme="majorHAnsi" w:hAnsiTheme="majorHAnsi" w:cstheme="majorHAnsi"/>
          <w:sz w:val="24"/>
          <w:szCs w:val="24"/>
        </w:rPr>
      </w:pPr>
    </w:p>
    <w:p w:rsidR="00A83EE3" w:rsidRDefault="00A83EE3">
      <w:pPr>
        <w:spacing w:after="0" w:line="240" w:lineRule="auto"/>
        <w:rPr>
          <w:rFonts w:asciiTheme="majorHAnsi" w:hAnsiTheme="majorHAnsi" w:cstheme="majorHAnsi"/>
          <w:sz w:val="24"/>
          <w:szCs w:val="24"/>
          <w:lang w:val="en-US"/>
        </w:rPr>
      </w:pPr>
    </w:p>
    <w:sectPr w:rsidR="00A83EE3">
      <w:headerReference w:type="default" r:id="rId9"/>
      <w:pgSz w:w="16838" w:h="11906" w:orient="landscape"/>
      <w:pgMar w:top="851" w:right="1103" w:bottom="993" w:left="1276" w:header="709" w:footer="16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941" w:rsidRDefault="00794941">
      <w:pPr>
        <w:spacing w:line="240" w:lineRule="auto"/>
      </w:pPr>
      <w:r>
        <w:separator/>
      </w:r>
    </w:p>
  </w:endnote>
  <w:endnote w:type="continuationSeparator" w:id="0">
    <w:p w:rsidR="00794941" w:rsidRDefault="007949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NewRomanPS-BoldMT">
    <w:altName w:val="Times New Roman"/>
    <w:charset w:val="00"/>
    <w:family w:val="roman"/>
    <w:pitch w:val="default"/>
  </w:font>
  <w:font w:name="TimesNewRomanPSMT">
    <w:altName w:val="Times New Roman"/>
    <w:charset w:val="00"/>
    <w:family w:val="roman"/>
    <w:pitch w:val="default"/>
  </w:font>
  <w:font w:name="TimesNewRomanPS-ItalicMT">
    <w:altName w:val="Times New Roman"/>
    <w:charset w:val="00"/>
    <w:family w:val="roman"/>
    <w:pitch w:val="default"/>
  </w:font>
  <w:font w:name="TimesNewRomanPS-BoldItalic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941" w:rsidRDefault="00794941">
      <w:pPr>
        <w:spacing w:after="0"/>
      </w:pPr>
      <w:r>
        <w:separator/>
      </w:r>
    </w:p>
  </w:footnote>
  <w:footnote w:type="continuationSeparator" w:id="0">
    <w:p w:rsidR="00794941" w:rsidRDefault="00794941">
      <w:pPr>
        <w:spacing w:after="0"/>
      </w:pPr>
      <w:r>
        <w:continuationSeparator/>
      </w:r>
    </w:p>
  </w:footnote>
  <w:footnote w:id="1">
    <w:p w:rsidR="00A83EE3" w:rsidRDefault="00904E0F">
      <w:pPr>
        <w:pStyle w:val="FootnoteText"/>
        <w:jc w:val="both"/>
      </w:pPr>
      <w:r>
        <w:rPr>
          <w:rStyle w:val="FootnoteReference"/>
          <w:rFonts w:eastAsia="MS Mincho"/>
        </w:rPr>
        <w:footnoteRef/>
      </w:r>
      <w:r>
        <w:t xml:space="preserve"> Nghị định số 100/2002/NĐ-CP ngày 06/12/2002; Nghị định số 94/2008/NĐ-CP ngày 22/8/2008 của Chính phủ quy định chức năng, nhiệm vụ, quyền hạn và cơ cấu tổ chức của Bảo hiểm xã hội Việt Nam; Nghị định số </w:t>
      </w:r>
      <w:bookmarkStart w:id="1" w:name="tvpllink_hluaameyhb"/>
      <w:r>
        <w:t>116/2011/NĐ-CP</w:t>
      </w:r>
      <w:bookmarkEnd w:id="1"/>
      <w:r>
        <w:t> ngày 14/12/2011 của Chính phủ sửa đổi, bổ sung một số điều của Nghị định số </w:t>
      </w:r>
      <w:bookmarkStart w:id="2" w:name="tvpllink_flbgrykprm_1"/>
      <w:r>
        <w:t>94/2008/NĐ-CP</w:t>
      </w:r>
      <w:bookmarkEnd w:id="2"/>
      <w:r>
        <w:t xml:space="preserve"> và gần nhất là Nghị định số 89/2020/NĐ-CP ngày 04/8/2020 của Chính phru quy định chức năng, nhiệm vụ, quyền hạn và cơ cấu tổ chức của BHXH Việt Nam. </w:t>
      </w:r>
    </w:p>
  </w:footnote>
  <w:footnote w:id="2">
    <w:p w:rsidR="00A83EE3" w:rsidRDefault="00904E0F">
      <w:pPr>
        <w:pStyle w:val="FootnoteText"/>
      </w:pPr>
      <w:r>
        <w:rPr>
          <w:rStyle w:val="FootnoteReference"/>
          <w:rFonts w:eastAsia="MS Mincho"/>
        </w:rPr>
        <w:footnoteRef/>
      </w:r>
      <w:r>
        <w:t xml:space="preserve"> Luật BHXH số 71/2006/QH11; Luật BHXH số 58/2014/QH13 và tiếp tục quy định tại Luật BHXH số 41/2024/QH15.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2843153"/>
    </w:sdtPr>
    <w:sdtEndPr>
      <w:rPr>
        <w:rFonts w:asciiTheme="majorHAnsi" w:hAnsiTheme="majorHAnsi" w:cstheme="majorHAnsi"/>
      </w:rPr>
    </w:sdtEndPr>
    <w:sdtContent>
      <w:p w:rsidR="00A83EE3" w:rsidRDefault="00904E0F">
        <w:pPr>
          <w:pStyle w:val="Header"/>
          <w:jc w:val="center"/>
          <w:rPr>
            <w:rFonts w:asciiTheme="majorHAnsi" w:hAnsiTheme="majorHAnsi" w:cstheme="majorHAnsi"/>
          </w:rPr>
        </w:pPr>
        <w:r>
          <w:rPr>
            <w:rFonts w:asciiTheme="majorHAnsi" w:hAnsiTheme="majorHAnsi" w:cstheme="majorHAnsi"/>
          </w:rPr>
          <w:fldChar w:fldCharType="begin"/>
        </w:r>
        <w:r>
          <w:rPr>
            <w:rFonts w:asciiTheme="majorHAnsi" w:hAnsiTheme="majorHAnsi" w:cstheme="majorHAnsi"/>
          </w:rPr>
          <w:instrText xml:space="preserve"> PAGE   \* MERGEFORMAT </w:instrText>
        </w:r>
        <w:r>
          <w:rPr>
            <w:rFonts w:asciiTheme="majorHAnsi" w:hAnsiTheme="majorHAnsi" w:cstheme="majorHAnsi"/>
          </w:rPr>
          <w:fldChar w:fldCharType="separate"/>
        </w:r>
        <w:r w:rsidR="00B45DC5">
          <w:rPr>
            <w:rFonts w:asciiTheme="majorHAnsi" w:hAnsiTheme="majorHAnsi" w:cstheme="majorHAnsi"/>
            <w:noProof/>
          </w:rPr>
          <w:t>25</w:t>
        </w:r>
        <w:r>
          <w:rPr>
            <w:rFonts w:asciiTheme="majorHAnsi" w:hAnsiTheme="majorHAnsi" w:cstheme="majorHAnsi"/>
          </w:rPr>
          <w:fldChar w:fldCharType="end"/>
        </w:r>
      </w:p>
    </w:sdtContent>
  </w:sdt>
  <w:p w:rsidR="00A83EE3" w:rsidRDefault="00A83EE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B6220D6"/>
    <w:multiLevelType w:val="singleLevel"/>
    <w:tmpl w:val="CB6220D6"/>
    <w:lvl w:ilvl="0">
      <w:start w:val="2"/>
      <w:numFmt w:val="decimal"/>
      <w:suff w:val="space"/>
      <w:lvlText w:val="%1."/>
      <w:lvlJc w:val="left"/>
    </w:lvl>
  </w:abstractNum>
  <w:abstractNum w:abstractNumId="1" w15:restartNumberingAfterBreak="0">
    <w:nsid w:val="21A331B0"/>
    <w:multiLevelType w:val="multilevel"/>
    <w:tmpl w:val="21A331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90748B5"/>
    <w:multiLevelType w:val="singleLevel"/>
    <w:tmpl w:val="390748B5"/>
    <w:lvl w:ilvl="0">
      <w:start w:val="1"/>
      <w:numFmt w:val="decimal"/>
      <w:suff w:val="space"/>
      <w:lvlText w:val="(%1)"/>
      <w:lvlJc w:val="left"/>
    </w:lvl>
  </w:abstractNum>
  <w:abstractNum w:abstractNumId="3" w15:restartNumberingAfterBreak="0">
    <w:nsid w:val="672210D9"/>
    <w:multiLevelType w:val="singleLevel"/>
    <w:tmpl w:val="672210D9"/>
    <w:lvl w:ilvl="0">
      <w:start w:val="10"/>
      <w:numFmt w:val="decimal"/>
      <w:suff w:val="space"/>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EF9"/>
    <w:rsid w:val="000008FC"/>
    <w:rsid w:val="00002049"/>
    <w:rsid w:val="00003F98"/>
    <w:rsid w:val="00004E7D"/>
    <w:rsid w:val="000128EA"/>
    <w:rsid w:val="00014BBF"/>
    <w:rsid w:val="00014BF3"/>
    <w:rsid w:val="000200B9"/>
    <w:rsid w:val="0002328E"/>
    <w:rsid w:val="00026D23"/>
    <w:rsid w:val="000272A0"/>
    <w:rsid w:val="00031CD1"/>
    <w:rsid w:val="00035930"/>
    <w:rsid w:val="00041804"/>
    <w:rsid w:val="00044C0D"/>
    <w:rsid w:val="00045293"/>
    <w:rsid w:val="00051517"/>
    <w:rsid w:val="00052317"/>
    <w:rsid w:val="00053BBF"/>
    <w:rsid w:val="0005597D"/>
    <w:rsid w:val="00057D69"/>
    <w:rsid w:val="00060008"/>
    <w:rsid w:val="000604F1"/>
    <w:rsid w:val="000617B2"/>
    <w:rsid w:val="0006657D"/>
    <w:rsid w:val="00076C30"/>
    <w:rsid w:val="000831F7"/>
    <w:rsid w:val="000873EA"/>
    <w:rsid w:val="00087750"/>
    <w:rsid w:val="000A7EAA"/>
    <w:rsid w:val="000B0EAE"/>
    <w:rsid w:val="000D2E8C"/>
    <w:rsid w:val="000D5335"/>
    <w:rsid w:val="000D6263"/>
    <w:rsid w:val="000D77E9"/>
    <w:rsid w:val="000E040F"/>
    <w:rsid w:val="000E2717"/>
    <w:rsid w:val="000F3130"/>
    <w:rsid w:val="000F5D6C"/>
    <w:rsid w:val="000F6C9C"/>
    <w:rsid w:val="001065E5"/>
    <w:rsid w:val="001107E8"/>
    <w:rsid w:val="00112FA2"/>
    <w:rsid w:val="00121FAF"/>
    <w:rsid w:val="00127181"/>
    <w:rsid w:val="0012761C"/>
    <w:rsid w:val="00142373"/>
    <w:rsid w:val="00143DE1"/>
    <w:rsid w:val="00145AC9"/>
    <w:rsid w:val="00150E0C"/>
    <w:rsid w:val="001540B6"/>
    <w:rsid w:val="001565F7"/>
    <w:rsid w:val="00160362"/>
    <w:rsid w:val="00161236"/>
    <w:rsid w:val="0018024B"/>
    <w:rsid w:val="00183120"/>
    <w:rsid w:val="00184263"/>
    <w:rsid w:val="001848EE"/>
    <w:rsid w:val="00192AF1"/>
    <w:rsid w:val="0019470C"/>
    <w:rsid w:val="00196995"/>
    <w:rsid w:val="001A01CA"/>
    <w:rsid w:val="001A6A5A"/>
    <w:rsid w:val="001B1DFD"/>
    <w:rsid w:val="001B36C0"/>
    <w:rsid w:val="001B36FD"/>
    <w:rsid w:val="001C325C"/>
    <w:rsid w:val="001C368C"/>
    <w:rsid w:val="001C44DB"/>
    <w:rsid w:val="001C7F77"/>
    <w:rsid w:val="001D01A7"/>
    <w:rsid w:val="001D3297"/>
    <w:rsid w:val="001D3A06"/>
    <w:rsid w:val="001D6237"/>
    <w:rsid w:val="001D6DE2"/>
    <w:rsid w:val="001E1DD5"/>
    <w:rsid w:val="001E25EC"/>
    <w:rsid w:val="001E28B3"/>
    <w:rsid w:val="001E3D2E"/>
    <w:rsid w:val="001F3D0C"/>
    <w:rsid w:val="001F4587"/>
    <w:rsid w:val="00215CB6"/>
    <w:rsid w:val="002233D0"/>
    <w:rsid w:val="00232D1B"/>
    <w:rsid w:val="00240EA2"/>
    <w:rsid w:val="00241730"/>
    <w:rsid w:val="00242325"/>
    <w:rsid w:val="0025607F"/>
    <w:rsid w:val="002651A9"/>
    <w:rsid w:val="00284BBD"/>
    <w:rsid w:val="002876D9"/>
    <w:rsid w:val="002A3DFD"/>
    <w:rsid w:val="002A4AC6"/>
    <w:rsid w:val="002B0BFA"/>
    <w:rsid w:val="002B20F0"/>
    <w:rsid w:val="002B2931"/>
    <w:rsid w:val="002B3F04"/>
    <w:rsid w:val="002B5CD8"/>
    <w:rsid w:val="002C140F"/>
    <w:rsid w:val="002C4E0E"/>
    <w:rsid w:val="002C52A4"/>
    <w:rsid w:val="002E2392"/>
    <w:rsid w:val="002E4DBC"/>
    <w:rsid w:val="002E6C0F"/>
    <w:rsid w:val="002E6CEB"/>
    <w:rsid w:val="002E71D7"/>
    <w:rsid w:val="002F731B"/>
    <w:rsid w:val="00305615"/>
    <w:rsid w:val="003111CA"/>
    <w:rsid w:val="00313807"/>
    <w:rsid w:val="00313BE2"/>
    <w:rsid w:val="00314B76"/>
    <w:rsid w:val="00324962"/>
    <w:rsid w:val="00327D10"/>
    <w:rsid w:val="00332B16"/>
    <w:rsid w:val="00334196"/>
    <w:rsid w:val="00335B79"/>
    <w:rsid w:val="00341658"/>
    <w:rsid w:val="00341C04"/>
    <w:rsid w:val="00342AD6"/>
    <w:rsid w:val="003500E5"/>
    <w:rsid w:val="00351B1A"/>
    <w:rsid w:val="003722E1"/>
    <w:rsid w:val="003725BE"/>
    <w:rsid w:val="0037265F"/>
    <w:rsid w:val="00373972"/>
    <w:rsid w:val="003739CF"/>
    <w:rsid w:val="00381C14"/>
    <w:rsid w:val="003935E0"/>
    <w:rsid w:val="00397BE7"/>
    <w:rsid w:val="003A013D"/>
    <w:rsid w:val="003A0655"/>
    <w:rsid w:val="003B1BBD"/>
    <w:rsid w:val="003B2DC3"/>
    <w:rsid w:val="003B546F"/>
    <w:rsid w:val="003C7240"/>
    <w:rsid w:val="003C7BEF"/>
    <w:rsid w:val="003D19E7"/>
    <w:rsid w:val="003D2DD0"/>
    <w:rsid w:val="003D34D6"/>
    <w:rsid w:val="003E4F5F"/>
    <w:rsid w:val="003E6962"/>
    <w:rsid w:val="004001F5"/>
    <w:rsid w:val="0040076C"/>
    <w:rsid w:val="00402281"/>
    <w:rsid w:val="00402AE3"/>
    <w:rsid w:val="00403019"/>
    <w:rsid w:val="00414649"/>
    <w:rsid w:val="00417315"/>
    <w:rsid w:val="0042723F"/>
    <w:rsid w:val="00430D1B"/>
    <w:rsid w:val="00434B5D"/>
    <w:rsid w:val="00437018"/>
    <w:rsid w:val="00453B6A"/>
    <w:rsid w:val="00454144"/>
    <w:rsid w:val="00463D0C"/>
    <w:rsid w:val="00472727"/>
    <w:rsid w:val="00483F1C"/>
    <w:rsid w:val="0049481A"/>
    <w:rsid w:val="0049586D"/>
    <w:rsid w:val="004965CB"/>
    <w:rsid w:val="00496F39"/>
    <w:rsid w:val="004A06B1"/>
    <w:rsid w:val="004A21BB"/>
    <w:rsid w:val="004A7B76"/>
    <w:rsid w:val="004B6BD1"/>
    <w:rsid w:val="004C1578"/>
    <w:rsid w:val="004C5918"/>
    <w:rsid w:val="004D30B1"/>
    <w:rsid w:val="004D6517"/>
    <w:rsid w:val="004E2DE0"/>
    <w:rsid w:val="004E44F6"/>
    <w:rsid w:val="004E4ED2"/>
    <w:rsid w:val="004E5A7C"/>
    <w:rsid w:val="004E5FC5"/>
    <w:rsid w:val="004F0A6C"/>
    <w:rsid w:val="004F22BE"/>
    <w:rsid w:val="004F6BF5"/>
    <w:rsid w:val="004F75CF"/>
    <w:rsid w:val="00504240"/>
    <w:rsid w:val="00514CEA"/>
    <w:rsid w:val="00517675"/>
    <w:rsid w:val="0052008A"/>
    <w:rsid w:val="005207B5"/>
    <w:rsid w:val="00524A5D"/>
    <w:rsid w:val="005264F3"/>
    <w:rsid w:val="00533A50"/>
    <w:rsid w:val="00533D62"/>
    <w:rsid w:val="00536AC7"/>
    <w:rsid w:val="00537075"/>
    <w:rsid w:val="005465D1"/>
    <w:rsid w:val="00547798"/>
    <w:rsid w:val="00547EC4"/>
    <w:rsid w:val="00551B58"/>
    <w:rsid w:val="00553203"/>
    <w:rsid w:val="00561385"/>
    <w:rsid w:val="005638A4"/>
    <w:rsid w:val="005654E7"/>
    <w:rsid w:val="00566E18"/>
    <w:rsid w:val="00567935"/>
    <w:rsid w:val="005832B1"/>
    <w:rsid w:val="00583DD4"/>
    <w:rsid w:val="0059402D"/>
    <w:rsid w:val="00594C31"/>
    <w:rsid w:val="005B6091"/>
    <w:rsid w:val="005C2EF6"/>
    <w:rsid w:val="005D0B38"/>
    <w:rsid w:val="005D13D2"/>
    <w:rsid w:val="005E1A42"/>
    <w:rsid w:val="005E5829"/>
    <w:rsid w:val="005E696A"/>
    <w:rsid w:val="005F3698"/>
    <w:rsid w:val="00601CD1"/>
    <w:rsid w:val="006118DA"/>
    <w:rsid w:val="00612ADC"/>
    <w:rsid w:val="0061733F"/>
    <w:rsid w:val="006223E9"/>
    <w:rsid w:val="0063609A"/>
    <w:rsid w:val="0063643B"/>
    <w:rsid w:val="00643CEA"/>
    <w:rsid w:val="00646861"/>
    <w:rsid w:val="0064793B"/>
    <w:rsid w:val="006577AB"/>
    <w:rsid w:val="0066354D"/>
    <w:rsid w:val="0066550D"/>
    <w:rsid w:val="00671661"/>
    <w:rsid w:val="006729C8"/>
    <w:rsid w:val="00685FC9"/>
    <w:rsid w:val="00690E7D"/>
    <w:rsid w:val="006952CD"/>
    <w:rsid w:val="006A328C"/>
    <w:rsid w:val="006A3F6D"/>
    <w:rsid w:val="006A464C"/>
    <w:rsid w:val="006B3BA6"/>
    <w:rsid w:val="006B4860"/>
    <w:rsid w:val="006B545D"/>
    <w:rsid w:val="006C6580"/>
    <w:rsid w:val="006C6E98"/>
    <w:rsid w:val="006C751F"/>
    <w:rsid w:val="006D19B1"/>
    <w:rsid w:val="006D253B"/>
    <w:rsid w:val="006D73BA"/>
    <w:rsid w:val="006D7D94"/>
    <w:rsid w:val="006E24A9"/>
    <w:rsid w:val="006F0806"/>
    <w:rsid w:val="006F0DA7"/>
    <w:rsid w:val="006F2AC4"/>
    <w:rsid w:val="00702A63"/>
    <w:rsid w:val="00703371"/>
    <w:rsid w:val="00707455"/>
    <w:rsid w:val="00710919"/>
    <w:rsid w:val="00712FFD"/>
    <w:rsid w:val="0071507D"/>
    <w:rsid w:val="007167EC"/>
    <w:rsid w:val="00717E24"/>
    <w:rsid w:val="00721124"/>
    <w:rsid w:val="00723E4A"/>
    <w:rsid w:val="007266AF"/>
    <w:rsid w:val="00752F72"/>
    <w:rsid w:val="00761125"/>
    <w:rsid w:val="00775919"/>
    <w:rsid w:val="007803D9"/>
    <w:rsid w:val="00794941"/>
    <w:rsid w:val="00795ABE"/>
    <w:rsid w:val="007A4064"/>
    <w:rsid w:val="007A5DA6"/>
    <w:rsid w:val="007A65D7"/>
    <w:rsid w:val="007A66F1"/>
    <w:rsid w:val="007A6B2C"/>
    <w:rsid w:val="007B19A8"/>
    <w:rsid w:val="007B55C1"/>
    <w:rsid w:val="007B5757"/>
    <w:rsid w:val="007C3263"/>
    <w:rsid w:val="007D24F3"/>
    <w:rsid w:val="007D41CB"/>
    <w:rsid w:val="007D62AB"/>
    <w:rsid w:val="007E1C23"/>
    <w:rsid w:val="007F2FE1"/>
    <w:rsid w:val="007F4825"/>
    <w:rsid w:val="007F5DDA"/>
    <w:rsid w:val="007F5FB0"/>
    <w:rsid w:val="007F706A"/>
    <w:rsid w:val="0080280F"/>
    <w:rsid w:val="00813CCB"/>
    <w:rsid w:val="008146F8"/>
    <w:rsid w:val="00816444"/>
    <w:rsid w:val="00823700"/>
    <w:rsid w:val="00824460"/>
    <w:rsid w:val="00826529"/>
    <w:rsid w:val="00832C19"/>
    <w:rsid w:val="00834710"/>
    <w:rsid w:val="0083725F"/>
    <w:rsid w:val="00841A75"/>
    <w:rsid w:val="008468AC"/>
    <w:rsid w:val="00856A6B"/>
    <w:rsid w:val="00865267"/>
    <w:rsid w:val="00865452"/>
    <w:rsid w:val="0086625A"/>
    <w:rsid w:val="008765CF"/>
    <w:rsid w:val="00884C26"/>
    <w:rsid w:val="008B02AF"/>
    <w:rsid w:val="008B5883"/>
    <w:rsid w:val="008B6263"/>
    <w:rsid w:val="008C3169"/>
    <w:rsid w:val="008C38EE"/>
    <w:rsid w:val="008D0D8D"/>
    <w:rsid w:val="008D6F4A"/>
    <w:rsid w:val="008E5A3A"/>
    <w:rsid w:val="008E7D35"/>
    <w:rsid w:val="008F2775"/>
    <w:rsid w:val="008F6CE2"/>
    <w:rsid w:val="009040B7"/>
    <w:rsid w:val="00904E0F"/>
    <w:rsid w:val="00914F74"/>
    <w:rsid w:val="0091545E"/>
    <w:rsid w:val="00916E29"/>
    <w:rsid w:val="00923FAC"/>
    <w:rsid w:val="00927B5C"/>
    <w:rsid w:val="00931201"/>
    <w:rsid w:val="00933BBF"/>
    <w:rsid w:val="009344A1"/>
    <w:rsid w:val="009366E7"/>
    <w:rsid w:val="00941866"/>
    <w:rsid w:val="00941E85"/>
    <w:rsid w:val="00943CEC"/>
    <w:rsid w:val="0094459E"/>
    <w:rsid w:val="00944DBE"/>
    <w:rsid w:val="009523EF"/>
    <w:rsid w:val="0095262F"/>
    <w:rsid w:val="00955104"/>
    <w:rsid w:val="00956BCA"/>
    <w:rsid w:val="0096799D"/>
    <w:rsid w:val="00973C65"/>
    <w:rsid w:val="0098123F"/>
    <w:rsid w:val="00990D01"/>
    <w:rsid w:val="00994867"/>
    <w:rsid w:val="009A1757"/>
    <w:rsid w:val="009A25C0"/>
    <w:rsid w:val="009A4FFF"/>
    <w:rsid w:val="009A5915"/>
    <w:rsid w:val="009B177F"/>
    <w:rsid w:val="009B1B81"/>
    <w:rsid w:val="009B3503"/>
    <w:rsid w:val="009B4B72"/>
    <w:rsid w:val="009B7344"/>
    <w:rsid w:val="009C4F33"/>
    <w:rsid w:val="009D239C"/>
    <w:rsid w:val="009D2E68"/>
    <w:rsid w:val="009E49D7"/>
    <w:rsid w:val="009F037D"/>
    <w:rsid w:val="009F5773"/>
    <w:rsid w:val="009F7DB1"/>
    <w:rsid w:val="00A02790"/>
    <w:rsid w:val="00A03043"/>
    <w:rsid w:val="00A06C24"/>
    <w:rsid w:val="00A07997"/>
    <w:rsid w:val="00A117D0"/>
    <w:rsid w:val="00A12271"/>
    <w:rsid w:val="00A16434"/>
    <w:rsid w:val="00A36EFC"/>
    <w:rsid w:val="00A41003"/>
    <w:rsid w:val="00A43390"/>
    <w:rsid w:val="00A43F2C"/>
    <w:rsid w:val="00A445ED"/>
    <w:rsid w:val="00A46BC1"/>
    <w:rsid w:val="00A472B2"/>
    <w:rsid w:val="00A61391"/>
    <w:rsid w:val="00A66B16"/>
    <w:rsid w:val="00A70CF5"/>
    <w:rsid w:val="00A74EFD"/>
    <w:rsid w:val="00A75E6F"/>
    <w:rsid w:val="00A77DE9"/>
    <w:rsid w:val="00A83EE3"/>
    <w:rsid w:val="00A85C93"/>
    <w:rsid w:val="00A952C3"/>
    <w:rsid w:val="00AA07BB"/>
    <w:rsid w:val="00AA1CC2"/>
    <w:rsid w:val="00AA359F"/>
    <w:rsid w:val="00AA638F"/>
    <w:rsid w:val="00AB092F"/>
    <w:rsid w:val="00AB3778"/>
    <w:rsid w:val="00AB4856"/>
    <w:rsid w:val="00AC0F3D"/>
    <w:rsid w:val="00AD4847"/>
    <w:rsid w:val="00AD5635"/>
    <w:rsid w:val="00AE3EF9"/>
    <w:rsid w:val="00AE4061"/>
    <w:rsid w:val="00AF15B7"/>
    <w:rsid w:val="00AF3939"/>
    <w:rsid w:val="00AF42A3"/>
    <w:rsid w:val="00AF43C2"/>
    <w:rsid w:val="00B02C9A"/>
    <w:rsid w:val="00B12C7D"/>
    <w:rsid w:val="00B135AD"/>
    <w:rsid w:val="00B143E8"/>
    <w:rsid w:val="00B15FDA"/>
    <w:rsid w:val="00B174F7"/>
    <w:rsid w:val="00B221E9"/>
    <w:rsid w:val="00B23D06"/>
    <w:rsid w:val="00B26E35"/>
    <w:rsid w:val="00B322E8"/>
    <w:rsid w:val="00B33DFD"/>
    <w:rsid w:val="00B37334"/>
    <w:rsid w:val="00B37449"/>
    <w:rsid w:val="00B41037"/>
    <w:rsid w:val="00B45DC5"/>
    <w:rsid w:val="00B5116E"/>
    <w:rsid w:val="00B5376C"/>
    <w:rsid w:val="00B60EE1"/>
    <w:rsid w:val="00B63D9F"/>
    <w:rsid w:val="00B6441D"/>
    <w:rsid w:val="00B65D86"/>
    <w:rsid w:val="00B721A3"/>
    <w:rsid w:val="00B727FE"/>
    <w:rsid w:val="00B7518A"/>
    <w:rsid w:val="00B75A71"/>
    <w:rsid w:val="00B774E1"/>
    <w:rsid w:val="00B77E9D"/>
    <w:rsid w:val="00B81CEB"/>
    <w:rsid w:val="00B87D0E"/>
    <w:rsid w:val="00B95651"/>
    <w:rsid w:val="00B95C99"/>
    <w:rsid w:val="00B969BB"/>
    <w:rsid w:val="00BA008C"/>
    <w:rsid w:val="00BA14DB"/>
    <w:rsid w:val="00BA1F21"/>
    <w:rsid w:val="00BA4415"/>
    <w:rsid w:val="00BB0F0F"/>
    <w:rsid w:val="00BB26A7"/>
    <w:rsid w:val="00BB6172"/>
    <w:rsid w:val="00BB6382"/>
    <w:rsid w:val="00BB7ED0"/>
    <w:rsid w:val="00BC0E8B"/>
    <w:rsid w:val="00BC2890"/>
    <w:rsid w:val="00BC2AA4"/>
    <w:rsid w:val="00BE200B"/>
    <w:rsid w:val="00BE36A9"/>
    <w:rsid w:val="00BE5266"/>
    <w:rsid w:val="00C0059D"/>
    <w:rsid w:val="00C0558F"/>
    <w:rsid w:val="00C2360A"/>
    <w:rsid w:val="00C26928"/>
    <w:rsid w:val="00C328EF"/>
    <w:rsid w:val="00C40688"/>
    <w:rsid w:val="00C44591"/>
    <w:rsid w:val="00C54B03"/>
    <w:rsid w:val="00C54E06"/>
    <w:rsid w:val="00C6694F"/>
    <w:rsid w:val="00C70249"/>
    <w:rsid w:val="00C7252F"/>
    <w:rsid w:val="00C75168"/>
    <w:rsid w:val="00C823D0"/>
    <w:rsid w:val="00C82B31"/>
    <w:rsid w:val="00C875F2"/>
    <w:rsid w:val="00C913FD"/>
    <w:rsid w:val="00C915DD"/>
    <w:rsid w:val="00C938EC"/>
    <w:rsid w:val="00C954D3"/>
    <w:rsid w:val="00C977EA"/>
    <w:rsid w:val="00CA04B2"/>
    <w:rsid w:val="00CA28BA"/>
    <w:rsid w:val="00CA5EEF"/>
    <w:rsid w:val="00CB43B9"/>
    <w:rsid w:val="00CC0DE1"/>
    <w:rsid w:val="00CC0F71"/>
    <w:rsid w:val="00CC5948"/>
    <w:rsid w:val="00CD0A72"/>
    <w:rsid w:val="00CD25AC"/>
    <w:rsid w:val="00CD308B"/>
    <w:rsid w:val="00CD36B3"/>
    <w:rsid w:val="00CD5ED2"/>
    <w:rsid w:val="00CD7A12"/>
    <w:rsid w:val="00CF1B94"/>
    <w:rsid w:val="00CF3820"/>
    <w:rsid w:val="00CF6289"/>
    <w:rsid w:val="00D017F0"/>
    <w:rsid w:val="00D019AF"/>
    <w:rsid w:val="00D10639"/>
    <w:rsid w:val="00D159C7"/>
    <w:rsid w:val="00D1736E"/>
    <w:rsid w:val="00D17F85"/>
    <w:rsid w:val="00D20753"/>
    <w:rsid w:val="00D42339"/>
    <w:rsid w:val="00D4336A"/>
    <w:rsid w:val="00D55237"/>
    <w:rsid w:val="00D6388A"/>
    <w:rsid w:val="00D6453D"/>
    <w:rsid w:val="00D74A31"/>
    <w:rsid w:val="00D7658C"/>
    <w:rsid w:val="00D81653"/>
    <w:rsid w:val="00D841A3"/>
    <w:rsid w:val="00D85FA5"/>
    <w:rsid w:val="00D97376"/>
    <w:rsid w:val="00DA1E1D"/>
    <w:rsid w:val="00DB03C9"/>
    <w:rsid w:val="00DB1DE8"/>
    <w:rsid w:val="00DB2BF8"/>
    <w:rsid w:val="00DB74C9"/>
    <w:rsid w:val="00DC3348"/>
    <w:rsid w:val="00DD1CDA"/>
    <w:rsid w:val="00DD417C"/>
    <w:rsid w:val="00DE3738"/>
    <w:rsid w:val="00DE38B3"/>
    <w:rsid w:val="00DF02FA"/>
    <w:rsid w:val="00DF1BF5"/>
    <w:rsid w:val="00DF6874"/>
    <w:rsid w:val="00DF6D0B"/>
    <w:rsid w:val="00E0058B"/>
    <w:rsid w:val="00E04349"/>
    <w:rsid w:val="00E13FFC"/>
    <w:rsid w:val="00E15E1F"/>
    <w:rsid w:val="00E17AA9"/>
    <w:rsid w:val="00E221F0"/>
    <w:rsid w:val="00E279B5"/>
    <w:rsid w:val="00E30D01"/>
    <w:rsid w:val="00E36169"/>
    <w:rsid w:val="00E40C5D"/>
    <w:rsid w:val="00E55303"/>
    <w:rsid w:val="00E555A1"/>
    <w:rsid w:val="00E60185"/>
    <w:rsid w:val="00E608A7"/>
    <w:rsid w:val="00E617E9"/>
    <w:rsid w:val="00E73C87"/>
    <w:rsid w:val="00E76DAF"/>
    <w:rsid w:val="00E84C3E"/>
    <w:rsid w:val="00E91CED"/>
    <w:rsid w:val="00E932E0"/>
    <w:rsid w:val="00EA4A86"/>
    <w:rsid w:val="00EA5178"/>
    <w:rsid w:val="00EB3F24"/>
    <w:rsid w:val="00EB429C"/>
    <w:rsid w:val="00EB47A2"/>
    <w:rsid w:val="00EB76F6"/>
    <w:rsid w:val="00EC00B1"/>
    <w:rsid w:val="00EC39C1"/>
    <w:rsid w:val="00EC4ABF"/>
    <w:rsid w:val="00ED1C17"/>
    <w:rsid w:val="00EE4B24"/>
    <w:rsid w:val="00EE5DD4"/>
    <w:rsid w:val="00EF5774"/>
    <w:rsid w:val="00F10A2A"/>
    <w:rsid w:val="00F13C59"/>
    <w:rsid w:val="00F1498F"/>
    <w:rsid w:val="00F16570"/>
    <w:rsid w:val="00F21B8C"/>
    <w:rsid w:val="00F33139"/>
    <w:rsid w:val="00F342C4"/>
    <w:rsid w:val="00F356CF"/>
    <w:rsid w:val="00F42F3B"/>
    <w:rsid w:val="00F47729"/>
    <w:rsid w:val="00F57DC5"/>
    <w:rsid w:val="00F608BF"/>
    <w:rsid w:val="00F63505"/>
    <w:rsid w:val="00F65484"/>
    <w:rsid w:val="00F66EC2"/>
    <w:rsid w:val="00F72966"/>
    <w:rsid w:val="00F735B0"/>
    <w:rsid w:val="00F7762F"/>
    <w:rsid w:val="00F8230A"/>
    <w:rsid w:val="00F91E22"/>
    <w:rsid w:val="00FA0CA9"/>
    <w:rsid w:val="00FA4B8A"/>
    <w:rsid w:val="00FB151A"/>
    <w:rsid w:val="00FB49C4"/>
    <w:rsid w:val="00FC1BEE"/>
    <w:rsid w:val="00FD1B4A"/>
    <w:rsid w:val="00FD4938"/>
    <w:rsid w:val="00FD526F"/>
    <w:rsid w:val="00FE036B"/>
    <w:rsid w:val="00FE07D1"/>
    <w:rsid w:val="00FE63BD"/>
    <w:rsid w:val="00FF1059"/>
    <w:rsid w:val="01815F85"/>
    <w:rsid w:val="01D76D14"/>
    <w:rsid w:val="039549D3"/>
    <w:rsid w:val="06582C75"/>
    <w:rsid w:val="06D460C2"/>
    <w:rsid w:val="09991E4D"/>
    <w:rsid w:val="0AA242C1"/>
    <w:rsid w:val="0CC9249A"/>
    <w:rsid w:val="0D3A0B6E"/>
    <w:rsid w:val="13AD6DA7"/>
    <w:rsid w:val="14766E21"/>
    <w:rsid w:val="14862864"/>
    <w:rsid w:val="169E660B"/>
    <w:rsid w:val="1B417F7C"/>
    <w:rsid w:val="1F0C56D5"/>
    <w:rsid w:val="1F2652B8"/>
    <w:rsid w:val="233A7A0E"/>
    <w:rsid w:val="254D38F4"/>
    <w:rsid w:val="259F2676"/>
    <w:rsid w:val="29321A12"/>
    <w:rsid w:val="2AE44E06"/>
    <w:rsid w:val="2B211B45"/>
    <w:rsid w:val="2BC713C3"/>
    <w:rsid w:val="2DBB79DF"/>
    <w:rsid w:val="2E6C1C46"/>
    <w:rsid w:val="32F35DB5"/>
    <w:rsid w:val="3564280B"/>
    <w:rsid w:val="36130E2D"/>
    <w:rsid w:val="369948A0"/>
    <w:rsid w:val="3A154F32"/>
    <w:rsid w:val="3AA239F7"/>
    <w:rsid w:val="3ACC2A06"/>
    <w:rsid w:val="3C1D6010"/>
    <w:rsid w:val="4350581A"/>
    <w:rsid w:val="43AD1F68"/>
    <w:rsid w:val="44D66CFF"/>
    <w:rsid w:val="4551185C"/>
    <w:rsid w:val="499D5953"/>
    <w:rsid w:val="4A813050"/>
    <w:rsid w:val="4C0246AD"/>
    <w:rsid w:val="4E1C41B2"/>
    <w:rsid w:val="4F0A7F8F"/>
    <w:rsid w:val="515C04D6"/>
    <w:rsid w:val="52A26C03"/>
    <w:rsid w:val="5BFA7EF6"/>
    <w:rsid w:val="5C1B7138"/>
    <w:rsid w:val="5C821E59"/>
    <w:rsid w:val="5C985DB4"/>
    <w:rsid w:val="5E230266"/>
    <w:rsid w:val="5E816E9C"/>
    <w:rsid w:val="5FF41F8E"/>
    <w:rsid w:val="6118535B"/>
    <w:rsid w:val="618712EF"/>
    <w:rsid w:val="693F27C1"/>
    <w:rsid w:val="697D0B34"/>
    <w:rsid w:val="6ACF4A8F"/>
    <w:rsid w:val="6B8507E3"/>
    <w:rsid w:val="6CA7796F"/>
    <w:rsid w:val="6D43749C"/>
    <w:rsid w:val="6DAD2248"/>
    <w:rsid w:val="6E80525B"/>
    <w:rsid w:val="6F514AC1"/>
    <w:rsid w:val="720502C8"/>
    <w:rsid w:val="750720FF"/>
    <w:rsid w:val="754975BE"/>
    <w:rsid w:val="7A233152"/>
    <w:rsid w:val="7AB57D65"/>
    <w:rsid w:val="7B1A2B63"/>
    <w:rsid w:val="7C132627"/>
    <w:rsid w:val="7C467C54"/>
    <w:rsid w:val="7C7E74CC"/>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91BA445"/>
  <w15:docId w15:val="{14F91F87-7CF5-4202-8C00-8B64BB290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heme="minorHAnsi" w:eastAsiaTheme="minorHAnsi" w:hAnsiTheme="minorHAnsi" w:cstheme="minorBidi"/>
      <w:sz w:val="22"/>
      <w:szCs w:val="22"/>
      <w:lang w:val="vi-VN"/>
    </w:rPr>
  </w:style>
  <w:style w:type="paragraph" w:styleId="Heading6">
    <w:name w:val="heading 6"/>
    <w:basedOn w:val="Normal"/>
    <w:next w:val="Normal"/>
    <w:link w:val="Heading6Char"/>
    <w:qFormat/>
    <w:pPr>
      <w:keepNext/>
      <w:spacing w:before="120" w:after="0"/>
      <w:ind w:firstLine="720"/>
      <w:jc w:val="center"/>
      <w:outlineLvl w:val="5"/>
    </w:pPr>
    <w:rPr>
      <w:rFonts w:ascii=".VnTime" w:eastAsia="Times New Roman" w:hAnsi=".VnTime" w:cs="Times New Roman"/>
      <w:b/>
      <w:sz w:val="28"/>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lang w:val="en-US"/>
    </w:rPr>
  </w:style>
  <w:style w:type="paragraph" w:styleId="BodyText">
    <w:name w:val="Body Text"/>
    <w:basedOn w:val="Normal"/>
    <w:link w:val="BodyTextChar"/>
    <w:uiPriority w:val="99"/>
    <w:unhideWhenUsed/>
    <w:qFormat/>
    <w:pPr>
      <w:spacing w:after="120"/>
    </w:pPr>
    <w:rPr>
      <w:lang w:val="en-US"/>
    </w:rPr>
  </w:style>
  <w:style w:type="paragraph" w:styleId="BodyText2">
    <w:name w:val="Body Text 2"/>
    <w:basedOn w:val="Normal"/>
    <w:link w:val="BodyText2Char"/>
    <w:qFormat/>
    <w:pPr>
      <w:spacing w:before="120" w:after="0" w:line="312" w:lineRule="auto"/>
      <w:jc w:val="both"/>
    </w:pPr>
    <w:rPr>
      <w:rFonts w:ascii=".VnTime" w:eastAsia="Times New Roman" w:hAnsi=".VnTime" w:cs="Times New Roman"/>
      <w:sz w:val="28"/>
      <w:szCs w:val="20"/>
      <w:lang w:val="zh-CN" w:eastAsia="zh-CN"/>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lang w:val="en-US"/>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spacing w:after="0" w:line="240" w:lineRule="auto"/>
    </w:pPr>
    <w:rPr>
      <w:lang w:val="en-US"/>
    </w:rPr>
  </w:style>
  <w:style w:type="character" w:styleId="FootnoteReference">
    <w:name w:val="footnote reference"/>
    <w:basedOn w:val="DefaultParagraphFont"/>
    <w:link w:val="4GCharCharChar"/>
    <w:uiPriority w:val="99"/>
    <w:unhideWhenUsed/>
    <w:qFormat/>
    <w:rPr>
      <w:vertAlign w:val="superscript"/>
    </w:rPr>
  </w:style>
  <w:style w:type="paragraph" w:customStyle="1" w:styleId="4GCharCharChar">
    <w:name w:val="4_G Char Char Char"/>
    <w:basedOn w:val="Normal"/>
    <w:link w:val="FootnoteReference"/>
    <w:uiPriority w:val="99"/>
    <w:qFormat/>
    <w:pPr>
      <w:spacing w:before="100" w:after="0" w:line="240" w:lineRule="exact"/>
    </w:pPr>
    <w:rPr>
      <w:sz w:val="20"/>
      <w:szCs w:val="20"/>
      <w:vertAlign w:val="superscript"/>
      <w:lang w:val="en-US"/>
    </w:rPr>
  </w:style>
  <w:style w:type="paragraph" w:styleId="FootnoteText">
    <w:name w:val="footnote text"/>
    <w:basedOn w:val="Normal"/>
    <w:link w:val="FootnoteTextChar"/>
    <w:uiPriority w:val="99"/>
    <w:unhideWhenUsed/>
    <w:qFormat/>
    <w:pPr>
      <w:spacing w:after="0" w:line="240" w:lineRule="auto"/>
    </w:pPr>
    <w:rPr>
      <w:rFonts w:ascii="Times New Roman" w:eastAsia="Calibri" w:hAnsi="Times New Roman" w:cs="Times New Roman"/>
      <w:sz w:val="20"/>
      <w:szCs w:val="20"/>
      <w:lang w:val="en-US"/>
    </w:rPr>
  </w:style>
  <w:style w:type="paragraph" w:styleId="Header">
    <w:name w:val="header"/>
    <w:basedOn w:val="Normal"/>
    <w:link w:val="HeaderChar"/>
    <w:uiPriority w:val="99"/>
    <w:unhideWhenUsed/>
    <w:qFormat/>
    <w:pPr>
      <w:tabs>
        <w:tab w:val="center" w:pos="4680"/>
        <w:tab w:val="right" w:pos="9360"/>
      </w:tabs>
      <w:spacing w:after="0" w:line="240" w:lineRule="auto"/>
    </w:pPr>
    <w:rPr>
      <w:lang w:val="en-US"/>
    </w:rPr>
  </w:style>
  <w:style w:type="paragraph" w:styleId="NormalWeb">
    <w:name w:val="Normal (Web)"/>
    <w:basedOn w:val="Normal"/>
    <w:uiPriority w:val="99"/>
    <w:unhideWhenUsed/>
    <w:qFormat/>
    <w:rPr>
      <w:rFonts w:ascii="Times New Roman" w:hAnsi="Times New Roman" w:cs="Times New Roman"/>
      <w:sz w:val="24"/>
      <w:szCs w:val="24"/>
    </w:rPr>
  </w:style>
  <w:style w:type="character" w:styleId="Strong">
    <w:name w:val="Strong"/>
    <w:uiPriority w:val="22"/>
    <w:qFormat/>
    <w:rPr>
      <w:b/>
      <w:bCs/>
    </w:rPr>
  </w:style>
  <w:style w:type="table" w:styleId="TableGrid">
    <w:name w:val="Table Grid"/>
    <w:basedOn w:val="TableNormal"/>
    <w:uiPriority w:val="39"/>
    <w:qFormat/>
    <w:pPr>
      <w:jc w:val="both"/>
    </w:pPr>
    <w:rPr>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6Char">
    <w:name w:val="Heading 6 Char"/>
    <w:basedOn w:val="DefaultParagraphFont"/>
    <w:link w:val="Heading6"/>
    <w:qFormat/>
    <w:rPr>
      <w:rFonts w:ascii=".VnTime" w:eastAsia="Times New Roman" w:hAnsi=".VnTime" w:cs="Times New Roman"/>
      <w:b/>
      <w:sz w:val="28"/>
      <w:szCs w:val="20"/>
      <w:lang w:val="pt-BR"/>
    </w:rPr>
  </w:style>
  <w:style w:type="paragraph" w:customStyle="1" w:styleId="n-dieund">
    <w:name w:val="n-dieund"/>
    <w:basedOn w:val="Normal"/>
    <w:qFormat/>
    <w:pPr>
      <w:spacing w:after="120" w:line="240" w:lineRule="auto"/>
      <w:ind w:firstLine="709"/>
      <w:jc w:val="both"/>
    </w:pPr>
    <w:rPr>
      <w:rFonts w:ascii=".VnTime" w:eastAsia="MS Mincho" w:hAnsi=".VnTime" w:cs="Times New Roman"/>
      <w:sz w:val="28"/>
      <w:szCs w:val="20"/>
      <w:lang w:val="en-US" w:eastAsia="ja-JP"/>
    </w:rPr>
  </w:style>
  <w:style w:type="character" w:customStyle="1" w:styleId="BodyText2Char">
    <w:name w:val="Body Text 2 Char"/>
    <w:basedOn w:val="DefaultParagraphFont"/>
    <w:link w:val="BodyText2"/>
    <w:qFormat/>
    <w:rPr>
      <w:rFonts w:ascii=".VnTime" w:eastAsia="Times New Roman" w:hAnsi=".VnTime" w:cs="Times New Roman"/>
      <w:sz w:val="28"/>
      <w:szCs w:val="20"/>
      <w:lang w:val="zh-CN" w:eastAsia="zh-CN"/>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US"/>
    </w:rPr>
  </w:style>
  <w:style w:type="paragraph" w:styleId="ListParagraph">
    <w:name w:val="List Paragraph"/>
    <w:basedOn w:val="Normal"/>
    <w:link w:val="ListParagraphChar"/>
    <w:uiPriority w:val="34"/>
    <w:qFormat/>
    <w:pPr>
      <w:ind w:left="720"/>
      <w:contextualSpacing/>
    </w:pPr>
    <w:rPr>
      <w:lang w:val="en-US"/>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uiPriority w:val="99"/>
    <w:qFormat/>
    <w:rPr>
      <w:lang w:val="en-US"/>
    </w:rPr>
  </w:style>
  <w:style w:type="character" w:customStyle="1" w:styleId="FooterChar">
    <w:name w:val="Footer Char"/>
    <w:basedOn w:val="DefaultParagraphFont"/>
    <w:link w:val="Footer"/>
    <w:uiPriority w:val="99"/>
    <w:qFormat/>
    <w:rPr>
      <w:lang w:val="en-US"/>
    </w:rPr>
  </w:style>
  <w:style w:type="character" w:customStyle="1" w:styleId="BodyTextChar">
    <w:name w:val="Body Text Char"/>
    <w:basedOn w:val="DefaultParagraphFont"/>
    <w:link w:val="BodyText"/>
    <w:uiPriority w:val="99"/>
    <w:qFormat/>
    <w:rPr>
      <w:lang w:val="en-US"/>
    </w:rPr>
  </w:style>
  <w:style w:type="character" w:customStyle="1" w:styleId="FootnoteTextChar">
    <w:name w:val="Footnote Text Char"/>
    <w:basedOn w:val="DefaultParagraphFont"/>
    <w:link w:val="FootnoteText"/>
    <w:uiPriority w:val="99"/>
    <w:qFormat/>
    <w:rPr>
      <w:rFonts w:ascii="Times New Roman" w:eastAsia="Calibri" w:hAnsi="Times New Roman" w:cs="Times New Roman"/>
      <w:sz w:val="20"/>
      <w:szCs w:val="20"/>
      <w:lang w:val="en-US"/>
    </w:rPr>
  </w:style>
  <w:style w:type="paragraph" w:customStyle="1" w:styleId="CharCharChar">
    <w:name w:val="Char Char Char"/>
    <w:basedOn w:val="Normal"/>
    <w:semiHidden/>
    <w:qFormat/>
    <w:pPr>
      <w:pageBreakBefore/>
      <w:spacing w:before="100" w:beforeAutospacing="1" w:after="100" w:afterAutospacing="1" w:line="240" w:lineRule="auto"/>
    </w:pPr>
    <w:rPr>
      <w:rFonts w:ascii="Tahoma" w:eastAsia="Times New Roman" w:hAnsi="Tahoma" w:cs="Times New Roman"/>
      <w:sz w:val="20"/>
      <w:szCs w:val="20"/>
      <w:lang w:val="en-US"/>
    </w:rPr>
  </w:style>
  <w:style w:type="character" w:customStyle="1" w:styleId="ListParagraphChar">
    <w:name w:val="List Paragraph Char"/>
    <w:basedOn w:val="DefaultParagraphFont"/>
    <w:link w:val="ListParagraph"/>
    <w:uiPriority w:val="34"/>
    <w:qFormat/>
    <w:rPr>
      <w:lang w:val="en-US"/>
    </w:rPr>
  </w:style>
  <w:style w:type="character" w:customStyle="1" w:styleId="CommentTextChar">
    <w:name w:val="Comment Text Char"/>
    <w:basedOn w:val="DefaultParagraphFont"/>
    <w:link w:val="CommentText"/>
    <w:uiPriority w:val="99"/>
    <w:semiHidden/>
    <w:qFormat/>
    <w:rPr>
      <w:sz w:val="20"/>
      <w:szCs w:val="20"/>
      <w:lang w:val="en-US"/>
    </w:rPr>
  </w:style>
  <w:style w:type="character" w:customStyle="1" w:styleId="CommentSubjectChar">
    <w:name w:val="Comment Subject Char"/>
    <w:basedOn w:val="CommentTextChar"/>
    <w:link w:val="CommentSubject"/>
    <w:uiPriority w:val="99"/>
    <w:semiHidden/>
    <w:qFormat/>
    <w:rPr>
      <w:b/>
      <w:bCs/>
      <w:sz w:val="20"/>
      <w:szCs w:val="20"/>
      <w:lang w:val="en-US"/>
    </w:rPr>
  </w:style>
  <w:style w:type="character" w:customStyle="1" w:styleId="fontstyle01">
    <w:name w:val="fontstyle01"/>
    <w:basedOn w:val="DefaultParagraphFont"/>
    <w:qFormat/>
    <w:rPr>
      <w:rFonts w:ascii="TimesNewRomanPS-BoldMT" w:hAnsi="TimesNewRomanPS-BoldMT" w:hint="default"/>
      <w:b/>
      <w:bCs/>
      <w:color w:val="000000"/>
      <w:sz w:val="24"/>
      <w:szCs w:val="24"/>
    </w:rPr>
  </w:style>
  <w:style w:type="character" w:customStyle="1" w:styleId="fontstyle21">
    <w:name w:val="fontstyle21"/>
    <w:basedOn w:val="DefaultParagraphFont"/>
    <w:qFormat/>
    <w:rPr>
      <w:rFonts w:ascii="TimesNewRomanPSMT" w:hAnsi="TimesNewRomanPSMT" w:hint="default"/>
      <w:color w:val="000000"/>
      <w:sz w:val="28"/>
      <w:szCs w:val="28"/>
    </w:rPr>
  </w:style>
  <w:style w:type="character" w:customStyle="1" w:styleId="fontstyle31">
    <w:name w:val="fontstyle31"/>
    <w:basedOn w:val="DefaultParagraphFont"/>
    <w:qFormat/>
    <w:rPr>
      <w:rFonts w:ascii="TimesNewRomanPS-ItalicMT" w:hAnsi="TimesNewRomanPS-ItalicMT" w:hint="default"/>
      <w:i/>
      <w:iCs/>
      <w:color w:val="000000"/>
      <w:sz w:val="28"/>
      <w:szCs w:val="28"/>
    </w:rPr>
  </w:style>
  <w:style w:type="character" w:customStyle="1" w:styleId="fontstyle41">
    <w:name w:val="fontstyle41"/>
    <w:basedOn w:val="DefaultParagraphFont"/>
    <w:qFormat/>
    <w:rPr>
      <w:rFonts w:ascii="TimesNewRomanPS-BoldItalicMT" w:hAnsi="TimesNewRomanPS-BoldItalicMT" w:hint="default"/>
      <w:b/>
      <w:bCs/>
      <w:i/>
      <w:iCs/>
      <w:color w:val="000000"/>
      <w:sz w:val="28"/>
      <w:szCs w:val="28"/>
    </w:rPr>
  </w:style>
  <w:style w:type="character" w:customStyle="1" w:styleId="card-send-timesendtime">
    <w:name w:val="card-send-time__sendtim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6EE84E-CEBE-4294-AEB7-C0D5871B9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26</Pages>
  <Words>6957</Words>
  <Characters>39657</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cp:lastPrinted>2025-04-22T08:23:00Z</cp:lastPrinted>
  <dcterms:created xsi:type="dcterms:W3CDTF">2025-05-19T08:27:00Z</dcterms:created>
  <dcterms:modified xsi:type="dcterms:W3CDTF">2025-05-19T09:28:00Z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98B28C289D364D6AAE30BF5B5596EEF5_13</vt:lpwstr>
  </property>
</Properties>
</file>